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3875D" w14:textId="77777777" w:rsidR="00F90D91" w:rsidRPr="00D64C24" w:rsidRDefault="00F90D91" w:rsidP="00107215">
      <w:pPr>
        <w:widowControl w:val="0"/>
        <w:pBdr>
          <w:top w:val="nil"/>
          <w:left w:val="nil"/>
          <w:bottom w:val="nil"/>
          <w:right w:val="nil"/>
          <w:between w:val="nil"/>
        </w:pBdr>
        <w:spacing w:line="240" w:lineRule="auto"/>
        <w:ind w:right="-4"/>
        <w:jc w:val="center"/>
        <w:rPr>
          <w:b/>
          <w:sz w:val="24"/>
          <w:szCs w:val="24"/>
        </w:rPr>
      </w:pPr>
      <w:r w:rsidRPr="00D64C24">
        <w:rPr>
          <w:b/>
          <w:sz w:val="24"/>
          <w:szCs w:val="24"/>
        </w:rPr>
        <w:t>TERMO DE REFERÊNCIA</w:t>
      </w:r>
    </w:p>
    <w:p w14:paraId="7AD8D474" w14:textId="22839338" w:rsidR="006E77F3" w:rsidRPr="00D64C24" w:rsidRDefault="006E77F3" w:rsidP="006E77F3">
      <w:pPr>
        <w:tabs>
          <w:tab w:val="left" w:pos="2340"/>
          <w:tab w:val="left" w:pos="4464"/>
        </w:tabs>
        <w:jc w:val="center"/>
        <w:rPr>
          <w:b/>
          <w:sz w:val="20"/>
          <w:szCs w:val="20"/>
        </w:rPr>
      </w:pPr>
      <w:r w:rsidRPr="00D64C24">
        <w:rPr>
          <w:b/>
          <w:bCs/>
          <w:sz w:val="20"/>
          <w:szCs w:val="20"/>
        </w:rPr>
        <w:t>PROCESSO ADMINISTRATIVO LICITATÓRIO Nº 0</w:t>
      </w:r>
      <w:r w:rsidR="005D386B">
        <w:rPr>
          <w:b/>
          <w:bCs/>
          <w:sz w:val="20"/>
          <w:szCs w:val="20"/>
        </w:rPr>
        <w:t>05</w:t>
      </w:r>
      <w:r w:rsidRPr="00D64C24">
        <w:rPr>
          <w:b/>
          <w:bCs/>
          <w:sz w:val="20"/>
          <w:szCs w:val="20"/>
        </w:rPr>
        <w:t>/202</w:t>
      </w:r>
      <w:r w:rsidR="00D64C24" w:rsidRPr="00D64C24">
        <w:rPr>
          <w:b/>
          <w:bCs/>
          <w:sz w:val="20"/>
          <w:szCs w:val="20"/>
        </w:rPr>
        <w:t>5</w:t>
      </w:r>
    </w:p>
    <w:p w14:paraId="6B5B5841" w14:textId="4FD7BD3C" w:rsidR="006E77F3" w:rsidRPr="00D64C24" w:rsidRDefault="006E77F3" w:rsidP="00646F1C">
      <w:pPr>
        <w:tabs>
          <w:tab w:val="left" w:pos="2340"/>
          <w:tab w:val="left" w:pos="4464"/>
        </w:tabs>
        <w:spacing w:after="240"/>
        <w:jc w:val="center"/>
        <w:rPr>
          <w:b/>
          <w:sz w:val="20"/>
          <w:szCs w:val="20"/>
        </w:rPr>
      </w:pPr>
      <w:r w:rsidRPr="00D64C24">
        <w:rPr>
          <w:b/>
          <w:sz w:val="20"/>
          <w:szCs w:val="20"/>
        </w:rPr>
        <w:t xml:space="preserve">DISPENSA DE </w:t>
      </w:r>
      <w:r w:rsidRPr="00D64C24">
        <w:rPr>
          <w:b/>
          <w:bCs/>
          <w:sz w:val="20"/>
          <w:szCs w:val="20"/>
        </w:rPr>
        <w:t xml:space="preserve">LICITAÇÃO Nº </w:t>
      </w:r>
      <w:r w:rsidR="005D386B">
        <w:rPr>
          <w:b/>
          <w:bCs/>
          <w:sz w:val="20"/>
          <w:szCs w:val="20"/>
        </w:rPr>
        <w:t>003</w:t>
      </w:r>
      <w:r w:rsidRPr="00D64C24">
        <w:rPr>
          <w:b/>
          <w:bCs/>
          <w:sz w:val="20"/>
          <w:szCs w:val="20"/>
        </w:rPr>
        <w:t>/202</w:t>
      </w:r>
      <w:r w:rsidR="00D64C24" w:rsidRPr="00D64C24">
        <w:rPr>
          <w:b/>
          <w:bCs/>
          <w:sz w:val="20"/>
          <w:szCs w:val="20"/>
        </w:rPr>
        <w:t>5</w:t>
      </w:r>
    </w:p>
    <w:p w14:paraId="3475379E" w14:textId="15B50146" w:rsidR="0026034B" w:rsidRDefault="0026034B" w:rsidP="001A4836">
      <w:pPr>
        <w:pStyle w:val="PargrafodaLista"/>
        <w:numPr>
          <w:ilvl w:val="0"/>
          <w:numId w:val="5"/>
        </w:numPr>
        <w:spacing w:before="240" w:line="360" w:lineRule="auto"/>
        <w:rPr>
          <w:rFonts w:ascii="Arial" w:hAnsi="Arial" w:cs="Arial"/>
          <w:b/>
        </w:rPr>
      </w:pPr>
      <w:r w:rsidRPr="00265230">
        <w:rPr>
          <w:rFonts w:ascii="Arial" w:hAnsi="Arial" w:cs="Arial"/>
          <w:b/>
        </w:rPr>
        <w:t>OBJETO</w:t>
      </w:r>
    </w:p>
    <w:p w14:paraId="5BFE8A75" w14:textId="01DA5036" w:rsidR="001A4836" w:rsidRDefault="00795303" w:rsidP="00DD0671">
      <w:pPr>
        <w:tabs>
          <w:tab w:val="left" w:pos="1985"/>
        </w:tabs>
        <w:spacing w:after="240" w:line="360" w:lineRule="auto"/>
        <w:jc w:val="both"/>
      </w:pPr>
      <w:bookmarkStart w:id="1" w:name="_Hlk189059159"/>
      <w:r w:rsidRPr="00795303">
        <w:t>A presente dispensa de licitação tem como objeto a contratação de prestação de serviços de utilização de sistema (em formato SaaS) informatizado integrado web de comunicação, atendimento e gestão documental, para atender a administração do consórcio, de acordo com as especificações, contidas no termo de referência.</w:t>
      </w:r>
    </w:p>
    <w:bookmarkEnd w:id="1"/>
    <w:p w14:paraId="578ABD2C" w14:textId="001C7C9C" w:rsidR="005E67FA" w:rsidRDefault="005E67FA" w:rsidP="00D64C24">
      <w:pPr>
        <w:pStyle w:val="PargrafodaLista"/>
        <w:numPr>
          <w:ilvl w:val="0"/>
          <w:numId w:val="5"/>
        </w:numPr>
        <w:tabs>
          <w:tab w:val="left" w:pos="426"/>
        </w:tabs>
        <w:spacing w:line="360" w:lineRule="auto"/>
        <w:rPr>
          <w:rFonts w:ascii="Arial" w:hAnsi="Arial" w:cs="Arial"/>
          <w:b/>
        </w:rPr>
      </w:pPr>
      <w:r w:rsidRPr="00E27644">
        <w:rPr>
          <w:rFonts w:ascii="Arial" w:hAnsi="Arial" w:cs="Arial"/>
          <w:b/>
        </w:rPr>
        <w:t xml:space="preserve">DESCRIÇÃO </w:t>
      </w:r>
      <w:r w:rsidR="00DD0671">
        <w:rPr>
          <w:rFonts w:ascii="Arial" w:hAnsi="Arial" w:cs="Arial"/>
          <w:b/>
        </w:rPr>
        <w:t>DO OBJETO</w:t>
      </w:r>
    </w:p>
    <w:p w14:paraId="1BF3118E" w14:textId="77777777" w:rsidR="004F2B35" w:rsidRPr="00DD0671" w:rsidRDefault="004F2B35" w:rsidP="004F2B35">
      <w:pPr>
        <w:jc w:val="both"/>
      </w:pPr>
      <w:r>
        <w:t xml:space="preserve">Contratação de empresa especializada para prestação de </w:t>
      </w:r>
      <w:r w:rsidRPr="00DD0671">
        <w:t xml:space="preserve">serviços de utilização de sistema (em formato SaaS) informatizado integrado web de comunicação, atendimento e gestão documental para atender a administração do CIMAM. Parametrização e Implantação do Sistema informatizado, integrado e oficial de comunicação interna, externa e de gestão documental; - Parametrização e configuração dos processos de trabalho; - Licença de uso de Sistema Informatizado integrado e oficial de comunicação interna, externa, gestão documental, com emissão de relatórios gerenciais com módulos: </w:t>
      </w:r>
    </w:p>
    <w:p w14:paraId="134A1422" w14:textId="77777777" w:rsidR="004F2B35" w:rsidRPr="004F2B35" w:rsidRDefault="004F2B35" w:rsidP="004F2B35">
      <w:pPr>
        <w:jc w:val="both"/>
      </w:pPr>
    </w:p>
    <w:p w14:paraId="232094F7" w14:textId="6A5C801B" w:rsidR="00BA4476" w:rsidRPr="004F2B35" w:rsidRDefault="00BA4476" w:rsidP="004F2B35">
      <w:pPr>
        <w:jc w:val="both"/>
      </w:pPr>
      <w:r w:rsidRPr="004F2B35">
        <w:t>● Aplicativo Móvel para Atendimento</w:t>
      </w:r>
      <w:r w:rsidR="00C44AA1">
        <w:t>;</w:t>
      </w:r>
    </w:p>
    <w:p w14:paraId="33FF83AD" w14:textId="77777777" w:rsidR="00BA4476" w:rsidRPr="004F2B35" w:rsidRDefault="00BA4476" w:rsidP="004F2B35">
      <w:pPr>
        <w:jc w:val="both"/>
      </w:pPr>
      <w:r w:rsidRPr="004F2B35">
        <w:t>Aplicativo nativo mobile Atendimento para iOS e Android - recebimento de demandas da população.</w:t>
      </w:r>
    </w:p>
    <w:p w14:paraId="6C6B434F" w14:textId="79AB6D83" w:rsidR="00BA4476" w:rsidRPr="004F2B35" w:rsidRDefault="00BA4476" w:rsidP="004F2B35">
      <w:pPr>
        <w:jc w:val="both"/>
      </w:pPr>
      <w:r w:rsidRPr="004F2B35">
        <w:t>● Assinatura eletrônica em lote</w:t>
      </w:r>
      <w:r w:rsidR="00C44AA1">
        <w:t>;</w:t>
      </w:r>
    </w:p>
    <w:p w14:paraId="6A022821" w14:textId="77777777" w:rsidR="00BA4476" w:rsidRPr="004F2B35" w:rsidRDefault="00BA4476" w:rsidP="004F2B35">
      <w:pPr>
        <w:jc w:val="both"/>
      </w:pPr>
      <w:r w:rsidRPr="004F2B35">
        <w:t>Possibilidade de assinatura eletrônica de vários documentos de uma vez.</w:t>
      </w:r>
    </w:p>
    <w:p w14:paraId="53EA39AE" w14:textId="3C99426C" w:rsidR="00C44AA1" w:rsidRPr="004F2B35" w:rsidRDefault="00BA4476" w:rsidP="004F2B35">
      <w:pPr>
        <w:jc w:val="both"/>
      </w:pPr>
      <w:r w:rsidRPr="004F2B35">
        <w:t xml:space="preserve">● </w:t>
      </w:r>
      <w:r w:rsidR="00C44AA1">
        <w:t xml:space="preserve">Comunicação Externa (Ofício, Ouvidoria, Protocolos, Requerimentos, Atos Oficiais, Despacho, </w:t>
      </w:r>
      <w:proofErr w:type="spellStart"/>
      <w:r w:rsidR="00C44AA1">
        <w:t>e-SIC</w:t>
      </w:r>
      <w:proofErr w:type="spellEnd"/>
      <w:r w:rsidR="00C44AA1">
        <w:t>);</w:t>
      </w:r>
    </w:p>
    <w:p w14:paraId="449F0868" w14:textId="56480BBF" w:rsidR="00BA4476" w:rsidRDefault="00BA4476" w:rsidP="004F2B35">
      <w:pPr>
        <w:jc w:val="both"/>
      </w:pPr>
      <w:r w:rsidRPr="004F2B35">
        <w:t>Criação e gerenciamento de Atos Oficiais da Administração Pública direto na plataforma.</w:t>
      </w:r>
    </w:p>
    <w:p w14:paraId="24124D6F" w14:textId="40953566" w:rsidR="00BA4476" w:rsidRPr="004F2B35" w:rsidRDefault="00BA4476" w:rsidP="004F2B35">
      <w:pPr>
        <w:jc w:val="both"/>
      </w:pPr>
      <w:r w:rsidRPr="004F2B35">
        <w:t>● Carta de Serviços</w:t>
      </w:r>
      <w:r w:rsidR="00C44AA1">
        <w:t>;</w:t>
      </w:r>
    </w:p>
    <w:p w14:paraId="18247A96" w14:textId="2926D4DC" w:rsidR="00BA4476" w:rsidRPr="004F2B35" w:rsidRDefault="00BA4476" w:rsidP="004F2B35">
      <w:pPr>
        <w:jc w:val="both"/>
      </w:pPr>
      <w:r w:rsidRPr="004F2B35">
        <w:t>Possibilidade de cadastro de Carta de Serviços abrangendo todos os serviços públicos oferecidos pela</w:t>
      </w:r>
      <w:r w:rsidR="00C44AA1">
        <w:t xml:space="preserve"> </w:t>
      </w:r>
      <w:r w:rsidRPr="004F2B35">
        <w:t>organização.</w:t>
      </w:r>
    </w:p>
    <w:p w14:paraId="4A7F8E34" w14:textId="372E58CE" w:rsidR="00BA4476" w:rsidRPr="004F2B35" w:rsidRDefault="00BA4476" w:rsidP="004F2B35">
      <w:pPr>
        <w:jc w:val="both"/>
      </w:pPr>
      <w:r w:rsidRPr="004F2B35">
        <w:t>● Chamado Técnico</w:t>
      </w:r>
      <w:r w:rsidR="00C44AA1">
        <w:t>;</w:t>
      </w:r>
    </w:p>
    <w:p w14:paraId="1A7F4632" w14:textId="77777777" w:rsidR="00BA4476" w:rsidRPr="004F2B35" w:rsidRDefault="00BA4476" w:rsidP="004F2B35">
      <w:pPr>
        <w:jc w:val="both"/>
      </w:pPr>
      <w:r w:rsidRPr="004F2B35">
        <w:t>Solução para controle de emissão e resolução de chamados técnicos.</w:t>
      </w:r>
    </w:p>
    <w:p w14:paraId="65486846" w14:textId="28FE3DE5" w:rsidR="00BA4476" w:rsidRPr="004F2B35" w:rsidRDefault="00BA4476" w:rsidP="004F2B35">
      <w:pPr>
        <w:jc w:val="both"/>
      </w:pPr>
      <w:r w:rsidRPr="004F2B35">
        <w:t xml:space="preserve">● </w:t>
      </w:r>
      <w:r w:rsidR="00C44AA1">
        <w:t>Comunicação Interna (Circular, Memorando, Parecer, Despacho, Ordem Serviço Interno, Comunicação RH);</w:t>
      </w:r>
    </w:p>
    <w:p w14:paraId="7F8184AE" w14:textId="69887D0B" w:rsidR="00BA4476" w:rsidRPr="004F2B35" w:rsidRDefault="00BA4476" w:rsidP="004F2B35">
      <w:pPr>
        <w:jc w:val="both"/>
      </w:pPr>
      <w:r w:rsidRPr="004F2B35">
        <w:t>Controle da comunicação interna oficial por meio da criação e trâmite de Memorandos padronizados entre</w:t>
      </w:r>
      <w:r w:rsidR="00C44AA1">
        <w:t xml:space="preserve"> </w:t>
      </w:r>
      <w:r w:rsidRPr="004F2B35">
        <w:t>setores.</w:t>
      </w:r>
    </w:p>
    <w:p w14:paraId="26CBF608" w14:textId="3431EDDB" w:rsidR="00BA4476" w:rsidRPr="004F2B35" w:rsidRDefault="00BA4476" w:rsidP="004F2B35">
      <w:pPr>
        <w:jc w:val="both"/>
      </w:pPr>
      <w:r w:rsidRPr="004F2B35">
        <w:t>● Ofício Eletrônico</w:t>
      </w:r>
      <w:r w:rsidR="00C44AA1">
        <w:t>;</w:t>
      </w:r>
    </w:p>
    <w:p w14:paraId="79AA5D41" w14:textId="77777777" w:rsidR="00BA4476" w:rsidRPr="004F2B35" w:rsidRDefault="00BA4476" w:rsidP="004F2B35">
      <w:pPr>
        <w:jc w:val="both"/>
      </w:pPr>
      <w:r w:rsidRPr="004F2B35">
        <w:t>Envio de Ofícios Eletrônicos de forma oficial, sem impressão ou custos de remessa e postagem.</w:t>
      </w:r>
    </w:p>
    <w:p w14:paraId="17C88A57" w14:textId="2668F55E" w:rsidR="00BA4476" w:rsidRPr="004F2B35" w:rsidRDefault="00BA4476" w:rsidP="004F2B35">
      <w:pPr>
        <w:jc w:val="both"/>
      </w:pPr>
      <w:r w:rsidRPr="004F2B35">
        <w:t>● Ouvidoria com Integração ao E-mail Setorial</w:t>
      </w:r>
      <w:r w:rsidR="00C44AA1">
        <w:t>;</w:t>
      </w:r>
    </w:p>
    <w:p w14:paraId="77B0E492" w14:textId="6C021192" w:rsidR="00BA4476" w:rsidRPr="004F2B35" w:rsidRDefault="00BA4476" w:rsidP="004F2B35">
      <w:pPr>
        <w:jc w:val="both"/>
      </w:pPr>
      <w:r w:rsidRPr="004F2B35">
        <w:t>Ouvidoria Digital transparente e georreferenciada, com possibilidade de geração de gráficos, envio</w:t>
      </w:r>
      <w:r w:rsidR="00C44AA1">
        <w:t xml:space="preserve"> </w:t>
      </w:r>
      <w:r w:rsidRPr="004F2B35">
        <w:t>automático de e-mails e integração com e-mail setorial.</w:t>
      </w:r>
    </w:p>
    <w:p w14:paraId="583DB2FE" w14:textId="2399DD35" w:rsidR="00BA4476" w:rsidRPr="004F2B35" w:rsidRDefault="00BA4476" w:rsidP="004F2B35">
      <w:pPr>
        <w:jc w:val="both"/>
      </w:pPr>
      <w:r w:rsidRPr="004F2B35">
        <w:t xml:space="preserve">● Pedido de </w:t>
      </w:r>
      <w:proofErr w:type="spellStart"/>
      <w:r w:rsidRPr="004F2B35">
        <w:t>e-SIC</w:t>
      </w:r>
      <w:proofErr w:type="spellEnd"/>
      <w:r w:rsidR="00C44AA1">
        <w:t>;</w:t>
      </w:r>
    </w:p>
    <w:p w14:paraId="301B17B5" w14:textId="75C35961" w:rsidR="00BA4476" w:rsidRPr="004F2B35" w:rsidRDefault="00BA4476" w:rsidP="004F2B35">
      <w:pPr>
        <w:jc w:val="both"/>
      </w:pPr>
      <w:r w:rsidRPr="004F2B35">
        <w:lastRenderedPageBreak/>
        <w:t xml:space="preserve">Cadastro, recebimento de pedidos de LAI e </w:t>
      </w:r>
      <w:proofErr w:type="spellStart"/>
      <w:r w:rsidRPr="004F2B35">
        <w:t>e-SIC</w:t>
      </w:r>
      <w:proofErr w:type="spellEnd"/>
      <w:r w:rsidRPr="004F2B35">
        <w:t>. Com página de transparência pública seguindo a</w:t>
      </w:r>
      <w:r w:rsidR="00C44AA1">
        <w:t xml:space="preserve"> </w:t>
      </w:r>
      <w:r w:rsidRPr="004F2B35">
        <w:t>legislação.</w:t>
      </w:r>
    </w:p>
    <w:p w14:paraId="1A69399F" w14:textId="2139BED6" w:rsidR="00BA4476" w:rsidRPr="004F2B35" w:rsidRDefault="00BA4476" w:rsidP="004F2B35">
      <w:pPr>
        <w:jc w:val="both"/>
      </w:pPr>
      <w:r w:rsidRPr="004F2B35">
        <w:t>● Processo Administrativo com Workflow</w:t>
      </w:r>
      <w:r w:rsidR="00C44AA1">
        <w:t>;</w:t>
      </w:r>
    </w:p>
    <w:p w14:paraId="585F4794" w14:textId="70DDC876" w:rsidR="00BA4476" w:rsidRPr="004F2B35" w:rsidRDefault="00C44AA1" w:rsidP="004F2B35">
      <w:pPr>
        <w:jc w:val="both"/>
      </w:pPr>
      <w:r w:rsidRPr="004F2B35">
        <w:t>Processos</w:t>
      </w:r>
      <w:r w:rsidR="00BA4476" w:rsidRPr="004F2B35">
        <w:t xml:space="preserve"> Administrativos com possibilidade de referenciação, anexação e tramitação de diversos</w:t>
      </w:r>
      <w:r>
        <w:t xml:space="preserve"> </w:t>
      </w:r>
      <w:r w:rsidR="00BA4476" w:rsidRPr="004F2B35">
        <w:t>documentos sob o mesmo número e com possibilidade de configuração de etapas de workflow</w:t>
      </w:r>
      <w:r w:rsidR="00505AF4">
        <w:t>.</w:t>
      </w:r>
    </w:p>
    <w:p w14:paraId="5A49D992" w14:textId="6248E302" w:rsidR="00BA4476" w:rsidRPr="004F2B35" w:rsidRDefault="00BA4476" w:rsidP="004F2B35">
      <w:pPr>
        <w:jc w:val="both"/>
      </w:pPr>
      <w:r w:rsidRPr="004F2B35">
        <w:t>● Protocolo eletrônico do Cidadão</w:t>
      </w:r>
      <w:r w:rsidR="00C44AA1">
        <w:t>;</w:t>
      </w:r>
    </w:p>
    <w:p w14:paraId="71BAB596" w14:textId="7E6AF5E2" w:rsidR="00DD0671" w:rsidRPr="004F2B35" w:rsidRDefault="00BA4476" w:rsidP="004F2B35">
      <w:pPr>
        <w:spacing w:after="240"/>
        <w:jc w:val="both"/>
      </w:pPr>
      <w:r w:rsidRPr="004F2B35">
        <w:t>Manutenção e consulta de protocolos gerados através de solicitações diversas efetuadas pela comunidade</w:t>
      </w:r>
      <w:r w:rsidR="00505AF4">
        <w:t>.</w:t>
      </w:r>
    </w:p>
    <w:p w14:paraId="266A4060" w14:textId="2B875D58" w:rsidR="00DD0671" w:rsidRDefault="00DD0671" w:rsidP="00DD0671">
      <w:pPr>
        <w:pStyle w:val="PargrafodaLista"/>
        <w:numPr>
          <w:ilvl w:val="0"/>
          <w:numId w:val="5"/>
        </w:numPr>
        <w:tabs>
          <w:tab w:val="left" w:pos="426"/>
        </w:tabs>
        <w:spacing w:line="360" w:lineRule="auto"/>
        <w:rPr>
          <w:rFonts w:ascii="Arial" w:hAnsi="Arial" w:cs="Arial"/>
          <w:b/>
        </w:rPr>
      </w:pPr>
      <w:r w:rsidRPr="00E27644">
        <w:rPr>
          <w:rFonts w:ascii="Arial" w:hAnsi="Arial" w:cs="Arial"/>
          <w:b/>
        </w:rPr>
        <w:t>DESCRIÇÃO DA SOLUÇÃO COMO UM TODO</w:t>
      </w:r>
    </w:p>
    <w:p w14:paraId="75833377" w14:textId="1901B73D" w:rsidR="00505AF4" w:rsidRPr="00505AF4" w:rsidRDefault="00505AF4" w:rsidP="00505AF4">
      <w:pPr>
        <w:tabs>
          <w:tab w:val="left" w:pos="1985"/>
        </w:tabs>
        <w:spacing w:after="240" w:line="360" w:lineRule="auto"/>
        <w:jc w:val="both"/>
      </w:pPr>
      <w:r>
        <w:t>Contratação se</w:t>
      </w:r>
      <w:r w:rsidRPr="00505AF4">
        <w:t xml:space="preserve"> faz necessária para cumprimento do Art. 37° da Constituição Federal, no tocante ao Princípio da Eficiência, na qual determina que o gestor público deva oferecer o melhor serviço possível à população, além de aperfeiçoar os recursos disponíveis, sendo que o desperdício deve ser evitado, bem como, a morosidade dos tramites.</w:t>
      </w:r>
    </w:p>
    <w:p w14:paraId="49109706" w14:textId="28F68977" w:rsidR="0030435E" w:rsidRPr="00104E62" w:rsidRDefault="00505AF4" w:rsidP="00505AF4">
      <w:pPr>
        <w:tabs>
          <w:tab w:val="left" w:pos="1985"/>
        </w:tabs>
        <w:spacing w:after="240" w:line="360" w:lineRule="auto"/>
        <w:jc w:val="both"/>
      </w:pPr>
      <w:r w:rsidRPr="00505AF4">
        <w:t>A plataforma em questão gera inúmeros benefícios a Sociedade, como eliminação de impressões, rastreamento digital do andamento de todos os processos, histórico de todas as atividades, agilidade na tramitação entre setores, eliminação da necessidade de arquivamento físico de documentos, dentre outros.</w:t>
      </w:r>
    </w:p>
    <w:p w14:paraId="7762D7E2" w14:textId="52AF5230" w:rsidR="005E67FA" w:rsidRDefault="005E67FA" w:rsidP="005E67FA">
      <w:pPr>
        <w:pStyle w:val="PargrafodaLista"/>
        <w:numPr>
          <w:ilvl w:val="0"/>
          <w:numId w:val="5"/>
        </w:numPr>
        <w:spacing w:line="360" w:lineRule="auto"/>
        <w:rPr>
          <w:rFonts w:ascii="Arial" w:hAnsi="Arial" w:cs="Arial"/>
          <w:b/>
        </w:rPr>
      </w:pPr>
      <w:r w:rsidRPr="000D134D">
        <w:rPr>
          <w:rFonts w:ascii="Arial" w:hAnsi="Arial" w:cs="Arial"/>
          <w:b/>
        </w:rPr>
        <w:t>FUNDAMENTAÇÃO DA CONTRATAÇÃO</w:t>
      </w:r>
    </w:p>
    <w:p w14:paraId="0464A7C9" w14:textId="082D3483" w:rsidR="00D95D9B" w:rsidRPr="001A4836" w:rsidRDefault="00D95D9B" w:rsidP="00104E62">
      <w:pPr>
        <w:tabs>
          <w:tab w:val="left" w:pos="1985"/>
        </w:tabs>
        <w:spacing w:after="240" w:line="360" w:lineRule="auto"/>
        <w:jc w:val="both"/>
      </w:pPr>
      <w:r w:rsidRPr="00D95D9B">
        <w:t>A contratação foi motivada pela necessidade de emissão de protocolos nos atendimentos externos realizados pelo Programa de Licenciamento Ambiental (PLA). A implementação do sistema promoverá a transformação digital da administração do CIMAM, aumentando sua eficiência, transparência e acessibilidade para cidadãos, servidores e gestores públicos, além de assegurar a integridade e a transferência segura de documentos eletrônicos.</w:t>
      </w:r>
    </w:p>
    <w:p w14:paraId="06F99D79" w14:textId="7725D925" w:rsidR="007F6483" w:rsidRPr="00F565EA" w:rsidRDefault="007F6483" w:rsidP="007F6483">
      <w:pPr>
        <w:pStyle w:val="PargrafodaLista"/>
        <w:numPr>
          <w:ilvl w:val="1"/>
          <w:numId w:val="29"/>
        </w:numPr>
        <w:spacing w:line="360" w:lineRule="auto"/>
        <w:rPr>
          <w:rFonts w:ascii="Arial" w:hAnsi="Arial" w:cs="Arial"/>
          <w:b/>
        </w:rPr>
      </w:pPr>
      <w:r w:rsidRPr="00F565EA">
        <w:rPr>
          <w:rFonts w:ascii="Arial" w:hAnsi="Arial" w:cs="Arial"/>
          <w:b/>
        </w:rPr>
        <w:t>MOTIVAÇÃO</w:t>
      </w:r>
    </w:p>
    <w:p w14:paraId="37EE85BD" w14:textId="30FECB61" w:rsidR="00F565EA" w:rsidRPr="002458A0" w:rsidRDefault="007F6483" w:rsidP="002458A0">
      <w:pPr>
        <w:tabs>
          <w:tab w:val="left" w:pos="1985"/>
        </w:tabs>
        <w:spacing w:line="360" w:lineRule="auto"/>
        <w:ind w:firstLine="709"/>
        <w:jc w:val="both"/>
      </w:pPr>
      <w:r>
        <w:t xml:space="preserve"> </w:t>
      </w:r>
      <w:r w:rsidRPr="002458A0">
        <w:t>Os seguintes fatores motivaram essa contratação:</w:t>
      </w:r>
    </w:p>
    <w:p w14:paraId="589AF471" w14:textId="019F5B08" w:rsidR="007F6483" w:rsidRPr="002458A0" w:rsidRDefault="007F6483" w:rsidP="002458A0">
      <w:pPr>
        <w:pStyle w:val="PargrafodaLista"/>
        <w:numPr>
          <w:ilvl w:val="0"/>
          <w:numId w:val="33"/>
        </w:numPr>
        <w:tabs>
          <w:tab w:val="left" w:pos="1985"/>
        </w:tabs>
        <w:spacing w:line="360" w:lineRule="auto"/>
        <w:jc w:val="both"/>
        <w:rPr>
          <w:rFonts w:ascii="Arial" w:hAnsi="Arial" w:cs="Arial"/>
        </w:rPr>
      </w:pPr>
      <w:r w:rsidRPr="002458A0">
        <w:rPr>
          <w:rFonts w:ascii="Arial" w:hAnsi="Arial" w:cs="Arial"/>
        </w:rPr>
        <w:t>Manter o bom funcionamento dos</w:t>
      </w:r>
      <w:r w:rsidR="003C2F79" w:rsidRPr="002458A0">
        <w:rPr>
          <w:rFonts w:ascii="Arial" w:hAnsi="Arial" w:cs="Arial"/>
        </w:rPr>
        <w:t xml:space="preserve"> serviços</w:t>
      </w:r>
      <w:r w:rsidR="002458A0">
        <w:rPr>
          <w:rFonts w:ascii="Arial" w:hAnsi="Arial" w:cs="Arial"/>
        </w:rPr>
        <w:t>;</w:t>
      </w:r>
    </w:p>
    <w:p w14:paraId="09F3C489" w14:textId="4EA558C7" w:rsidR="00F06214" w:rsidRPr="002458A0" w:rsidRDefault="00F45658" w:rsidP="002458A0">
      <w:pPr>
        <w:pStyle w:val="PargrafodaLista"/>
        <w:numPr>
          <w:ilvl w:val="0"/>
          <w:numId w:val="33"/>
        </w:numPr>
        <w:tabs>
          <w:tab w:val="left" w:pos="1985"/>
        </w:tabs>
        <w:spacing w:line="360" w:lineRule="auto"/>
        <w:jc w:val="both"/>
        <w:rPr>
          <w:rFonts w:ascii="Arial" w:hAnsi="Arial" w:cs="Arial"/>
        </w:rPr>
      </w:pPr>
      <w:r w:rsidRPr="002458A0">
        <w:rPr>
          <w:rFonts w:ascii="Arial" w:hAnsi="Arial" w:cs="Arial"/>
        </w:rPr>
        <w:t>Visa cumprir as obrigações e exigências legais</w:t>
      </w:r>
      <w:r w:rsidR="002458A0">
        <w:rPr>
          <w:rFonts w:ascii="Arial" w:hAnsi="Arial" w:cs="Arial"/>
        </w:rPr>
        <w:t>;</w:t>
      </w:r>
    </w:p>
    <w:p w14:paraId="21AF66E4" w14:textId="77777777" w:rsidR="002A6BF9" w:rsidRPr="00F565EA" w:rsidRDefault="002A6BF9" w:rsidP="002A6BF9">
      <w:pPr>
        <w:pStyle w:val="PargrafodaLista"/>
        <w:tabs>
          <w:tab w:val="left" w:pos="1985"/>
        </w:tabs>
        <w:spacing w:line="360" w:lineRule="auto"/>
        <w:ind w:left="1500"/>
        <w:jc w:val="both"/>
        <w:rPr>
          <w:rFonts w:ascii="Arial" w:hAnsi="Arial" w:cs="Arial"/>
        </w:rPr>
      </w:pPr>
    </w:p>
    <w:p w14:paraId="0021C2D8" w14:textId="69B8EA3D" w:rsidR="00F565EA" w:rsidRPr="00971F30" w:rsidRDefault="00F565EA" w:rsidP="00971F30">
      <w:pPr>
        <w:pStyle w:val="PargrafodaLista"/>
        <w:numPr>
          <w:ilvl w:val="0"/>
          <w:numId w:val="29"/>
        </w:numPr>
        <w:spacing w:line="360" w:lineRule="auto"/>
        <w:rPr>
          <w:rFonts w:ascii="Arial" w:hAnsi="Arial" w:cs="Arial"/>
          <w:b/>
        </w:rPr>
      </w:pPr>
      <w:r w:rsidRPr="00971F30">
        <w:rPr>
          <w:rFonts w:ascii="Arial" w:hAnsi="Arial" w:cs="Arial"/>
          <w:b/>
        </w:rPr>
        <w:t>FUNDAMENTAÇÃO LEGAL</w:t>
      </w:r>
    </w:p>
    <w:p w14:paraId="0F7CCD26" w14:textId="77777777" w:rsidR="00104E62" w:rsidRDefault="00104E62" w:rsidP="00104E62">
      <w:pPr>
        <w:autoSpaceDE w:val="0"/>
        <w:autoSpaceDN w:val="0"/>
        <w:adjustRightInd w:val="0"/>
        <w:spacing w:after="240" w:line="360" w:lineRule="auto"/>
        <w:jc w:val="both"/>
      </w:pPr>
      <w:r>
        <w:t xml:space="preserve">O objetivo da licitação é contratar a proposta mais vantajosa, primando pelos princípios da legalidade, impessoalidade, igualdade, moralidade e publicidade. </w:t>
      </w:r>
    </w:p>
    <w:p w14:paraId="41D6E6F9" w14:textId="77777777" w:rsidR="00104E62" w:rsidRDefault="00104E62" w:rsidP="00104E62">
      <w:pPr>
        <w:autoSpaceDE w:val="0"/>
        <w:autoSpaceDN w:val="0"/>
        <w:adjustRightInd w:val="0"/>
        <w:spacing w:after="240" w:line="360" w:lineRule="auto"/>
        <w:jc w:val="both"/>
      </w:pPr>
      <w:r>
        <w:lastRenderedPageBreak/>
        <w:t xml:space="preserve">Dessa forma a regra é licitar, entretanto, há aquisições e contratações que possuem caracterizações específicas tornando impossíveis e/ou inviáveis as licitações nos trâmites usuais, frustrando a realização adequada das funções gerenciais. </w:t>
      </w:r>
    </w:p>
    <w:p w14:paraId="6C67B2D3" w14:textId="77777777" w:rsidR="00104E62" w:rsidRDefault="00104E62" w:rsidP="00104E62">
      <w:pPr>
        <w:autoSpaceDE w:val="0"/>
        <w:autoSpaceDN w:val="0"/>
        <w:adjustRightInd w:val="0"/>
        <w:spacing w:after="240" w:line="360" w:lineRule="auto"/>
        <w:jc w:val="both"/>
      </w:pPr>
      <w:r>
        <w:t xml:space="preserve">Na ocorrência de licitações impossíveis e/ou inviáveis, a lei previu exceções à regra, a Dispensa de Licitação e Inexigibilidade de Licitação, encontradas nos </w:t>
      </w:r>
      <w:proofErr w:type="spellStart"/>
      <w:r>
        <w:t>arts</w:t>
      </w:r>
      <w:proofErr w:type="spellEnd"/>
      <w:r>
        <w:t>. 74 e 75 da Lei 14.133/2021, para situações específicas com impossibilidades de competição ou dispensáveis de licitação</w:t>
      </w:r>
    </w:p>
    <w:p w14:paraId="614436B8" w14:textId="77777777" w:rsidR="00104E62" w:rsidRDefault="00104E62" w:rsidP="00104E62">
      <w:pPr>
        <w:autoSpaceDE w:val="0"/>
        <w:autoSpaceDN w:val="0"/>
        <w:adjustRightInd w:val="0"/>
        <w:spacing w:after="240" w:line="360" w:lineRule="auto"/>
        <w:jc w:val="both"/>
      </w:pPr>
      <w:r>
        <w:t>O procedimento licitatório e os atos dele decorrentes deverão seguir as disposições relativas à Dispensa de Licitação, conforme previsto no art. 75, inciso II, da Lei Federal nº 14.133/2021.</w:t>
      </w:r>
    </w:p>
    <w:p w14:paraId="10F42A9B" w14:textId="77777777" w:rsidR="00104E62" w:rsidRPr="00104E62" w:rsidRDefault="00104E62" w:rsidP="00104E62">
      <w:pPr>
        <w:tabs>
          <w:tab w:val="left" w:pos="2340"/>
          <w:tab w:val="left" w:pos="4464"/>
        </w:tabs>
        <w:spacing w:line="240" w:lineRule="auto"/>
        <w:ind w:left="2268"/>
        <w:jc w:val="both"/>
        <w:rPr>
          <w:bCs/>
          <w:sz w:val="18"/>
          <w:szCs w:val="18"/>
        </w:rPr>
      </w:pPr>
      <w:r w:rsidRPr="00104E62">
        <w:rPr>
          <w:bCs/>
          <w:sz w:val="18"/>
          <w:szCs w:val="18"/>
        </w:rPr>
        <w:t>Art. 75. É dispensável a licitação:</w:t>
      </w:r>
    </w:p>
    <w:p w14:paraId="3DD2B0DD" w14:textId="3077D3F4" w:rsidR="002A6BF9" w:rsidRDefault="00104E62" w:rsidP="00104E62">
      <w:pPr>
        <w:tabs>
          <w:tab w:val="left" w:pos="2340"/>
          <w:tab w:val="left" w:pos="4464"/>
        </w:tabs>
        <w:spacing w:line="240" w:lineRule="auto"/>
        <w:ind w:left="2268"/>
        <w:jc w:val="both"/>
        <w:rPr>
          <w:bCs/>
          <w:sz w:val="18"/>
          <w:szCs w:val="18"/>
        </w:rPr>
      </w:pPr>
      <w:r w:rsidRPr="00104E62">
        <w:rPr>
          <w:bCs/>
          <w:sz w:val="18"/>
          <w:szCs w:val="18"/>
        </w:rPr>
        <w:t xml:space="preserve">II - </w:t>
      </w:r>
      <w:proofErr w:type="gramStart"/>
      <w:r w:rsidRPr="00104E62">
        <w:rPr>
          <w:bCs/>
          <w:sz w:val="18"/>
          <w:szCs w:val="18"/>
        </w:rPr>
        <w:t>para</w:t>
      </w:r>
      <w:proofErr w:type="gramEnd"/>
      <w:r w:rsidRPr="00104E62">
        <w:rPr>
          <w:bCs/>
          <w:sz w:val="18"/>
          <w:szCs w:val="18"/>
        </w:rPr>
        <w:t xml:space="preserve"> contratação que envolva valores inferiores a R$ 50.000,00 (cinquenta mil reais), no caso de outros serviços e compras;</w:t>
      </w:r>
    </w:p>
    <w:p w14:paraId="14FBE694" w14:textId="77777777" w:rsidR="00903B78" w:rsidRPr="00903B78" w:rsidRDefault="00903B78" w:rsidP="00903B78">
      <w:pPr>
        <w:tabs>
          <w:tab w:val="left" w:pos="2340"/>
          <w:tab w:val="left" w:pos="4464"/>
        </w:tabs>
        <w:spacing w:line="240" w:lineRule="auto"/>
        <w:ind w:left="2268"/>
        <w:jc w:val="both"/>
        <w:rPr>
          <w:bCs/>
          <w:sz w:val="18"/>
          <w:szCs w:val="18"/>
        </w:rPr>
      </w:pPr>
      <w:r w:rsidRPr="00903B78">
        <w:rPr>
          <w:bCs/>
          <w:sz w:val="18"/>
          <w:szCs w:val="18"/>
        </w:rPr>
        <w:t>[...]</w:t>
      </w:r>
    </w:p>
    <w:p w14:paraId="1EC96714" w14:textId="77777777" w:rsidR="00903B78" w:rsidRPr="00903B78" w:rsidRDefault="00903B78" w:rsidP="00903B78">
      <w:pPr>
        <w:tabs>
          <w:tab w:val="left" w:pos="2340"/>
          <w:tab w:val="left" w:pos="4464"/>
        </w:tabs>
        <w:spacing w:line="240" w:lineRule="auto"/>
        <w:ind w:left="2268"/>
        <w:jc w:val="both"/>
        <w:rPr>
          <w:bCs/>
          <w:sz w:val="18"/>
          <w:szCs w:val="18"/>
        </w:rPr>
      </w:pPr>
      <w:r w:rsidRPr="00903B78">
        <w:rPr>
          <w:bCs/>
          <w:sz w:val="18"/>
          <w:szCs w:val="18"/>
        </w:rPr>
        <w:t>§ 2º Os valores referidos nos incisos I e II do caput deste artigo serão duplicados para</w:t>
      </w:r>
    </w:p>
    <w:p w14:paraId="000AF2C3" w14:textId="2F841D4B" w:rsidR="00903B78" w:rsidRPr="00104E62" w:rsidRDefault="00903B78" w:rsidP="00903B78">
      <w:pPr>
        <w:tabs>
          <w:tab w:val="left" w:pos="2340"/>
          <w:tab w:val="left" w:pos="4464"/>
        </w:tabs>
        <w:spacing w:line="240" w:lineRule="auto"/>
        <w:ind w:left="2268"/>
        <w:jc w:val="both"/>
        <w:rPr>
          <w:bCs/>
          <w:sz w:val="18"/>
          <w:szCs w:val="18"/>
        </w:rPr>
      </w:pPr>
      <w:r w:rsidRPr="00903B78">
        <w:rPr>
          <w:bCs/>
          <w:sz w:val="18"/>
          <w:szCs w:val="18"/>
        </w:rPr>
        <w:t>compras, obras e serviços contratados por consórcio público ou por autarquia ou fundação qualificadas como agências executivas na forma da lei. [...]</w:t>
      </w:r>
    </w:p>
    <w:p w14:paraId="615E1C9A" w14:textId="77777777" w:rsidR="006B49FE" w:rsidRPr="000D134D" w:rsidRDefault="006B49FE" w:rsidP="002A6BF9">
      <w:pPr>
        <w:tabs>
          <w:tab w:val="left" w:pos="1985"/>
        </w:tabs>
        <w:spacing w:line="360" w:lineRule="auto"/>
        <w:ind w:firstLine="709"/>
        <w:jc w:val="both"/>
        <w:rPr>
          <w:b/>
        </w:rPr>
      </w:pPr>
    </w:p>
    <w:p w14:paraId="4105A6DE" w14:textId="76843B9F" w:rsidR="005E67FA" w:rsidRDefault="005E67FA" w:rsidP="002A6BF9">
      <w:pPr>
        <w:pStyle w:val="PargrafodaLista"/>
        <w:numPr>
          <w:ilvl w:val="0"/>
          <w:numId w:val="29"/>
        </w:numPr>
        <w:rPr>
          <w:rFonts w:ascii="Arial" w:hAnsi="Arial" w:cs="Arial"/>
          <w:b/>
        </w:rPr>
      </w:pPr>
      <w:r w:rsidRPr="000E68DC">
        <w:rPr>
          <w:rFonts w:ascii="Arial" w:hAnsi="Arial" w:cs="Arial"/>
          <w:b/>
        </w:rPr>
        <w:t>DOTAÇÃO ORÇAMENTÁRIA</w:t>
      </w:r>
    </w:p>
    <w:p w14:paraId="49F03793" w14:textId="5819787E" w:rsidR="00903B78" w:rsidRDefault="00903B78" w:rsidP="00903B78">
      <w:pPr>
        <w:pStyle w:val="PargrafodaLista"/>
        <w:ind w:left="360"/>
        <w:rPr>
          <w:rFonts w:ascii="Arial" w:hAnsi="Arial" w:cs="Arial"/>
          <w:b/>
        </w:rPr>
      </w:pPr>
    </w:p>
    <w:p w14:paraId="2FA65C56" w14:textId="43CF3B07" w:rsidR="00903B78" w:rsidRPr="00903B78" w:rsidRDefault="00903B78" w:rsidP="00903B78">
      <w:pPr>
        <w:autoSpaceDE w:val="0"/>
        <w:autoSpaceDN w:val="0"/>
        <w:adjustRightInd w:val="0"/>
        <w:spacing w:after="240" w:line="360" w:lineRule="auto"/>
        <w:jc w:val="both"/>
      </w:pPr>
      <w:r w:rsidRPr="00903B78">
        <w:rPr>
          <w:rFonts w:ascii="CIDFont+F1" w:eastAsia="Times New Roman" w:hAnsi="CIDFont+F1" w:cs="Times New Roman"/>
          <w:color w:val="000000"/>
        </w:rPr>
        <w:t xml:space="preserve"> </w:t>
      </w:r>
      <w:r>
        <w:rPr>
          <w:rFonts w:ascii="CIDFont+F1" w:eastAsia="Times New Roman" w:hAnsi="CIDFont+F1" w:cs="Times New Roman"/>
          <w:color w:val="000000"/>
        </w:rPr>
        <w:t xml:space="preserve">O </w:t>
      </w:r>
      <w:r w:rsidRPr="00903B78">
        <w:t xml:space="preserve">contrato resultante deste processo de contratação direta terá vigência de </w:t>
      </w:r>
      <w:r>
        <w:t>11 (onze</w:t>
      </w:r>
      <w:r w:rsidRPr="00903B78">
        <w:t>) meses, a contar de sua assinatura, podendo ser prorrogada até o limite legal, conforme previsto no art. 106 e 107 da Lei Federal n. 14.133/2021, conforme segue:</w:t>
      </w:r>
    </w:p>
    <w:p w14:paraId="1C31190D" w14:textId="77777777" w:rsidR="00903B78" w:rsidRPr="00903B78" w:rsidRDefault="00903B78" w:rsidP="00903B78">
      <w:pPr>
        <w:tabs>
          <w:tab w:val="left" w:pos="2340"/>
          <w:tab w:val="left" w:pos="4464"/>
        </w:tabs>
        <w:spacing w:line="240" w:lineRule="auto"/>
        <w:ind w:left="2268"/>
        <w:jc w:val="both"/>
        <w:rPr>
          <w:bCs/>
          <w:sz w:val="18"/>
          <w:szCs w:val="18"/>
        </w:rPr>
      </w:pPr>
      <w:r w:rsidRPr="00903B78">
        <w:rPr>
          <w:bCs/>
          <w:sz w:val="18"/>
          <w:szCs w:val="18"/>
        </w:rPr>
        <w:t>Art. 106. A Administração poderá celebrar contratos com prazo de até 5 (cinco) anos nas hipóteses de serviços e fornecimentos contínuos, observadas as seguintes diretrizes: [...]</w:t>
      </w:r>
    </w:p>
    <w:p w14:paraId="643053C3" w14:textId="229AB7FB" w:rsidR="00903B78" w:rsidRPr="00903B78" w:rsidRDefault="00903B78" w:rsidP="00903B78">
      <w:pPr>
        <w:tabs>
          <w:tab w:val="left" w:pos="2340"/>
          <w:tab w:val="left" w:pos="4464"/>
        </w:tabs>
        <w:spacing w:line="240" w:lineRule="auto"/>
        <w:ind w:left="2268"/>
        <w:jc w:val="both"/>
        <w:rPr>
          <w:bCs/>
          <w:sz w:val="18"/>
          <w:szCs w:val="18"/>
        </w:rPr>
      </w:pPr>
      <w:r w:rsidRPr="00903B78">
        <w:rPr>
          <w:bCs/>
          <w:sz w:val="18"/>
          <w:szCs w:val="18"/>
        </w:rPr>
        <w:t>Art. 107. Os contratos de serviços e fornecimentos contínuos poderão ser prorrogados sucessivamente, respeitada a vigência máxima decenal, desde que haja previsão em edital e que autoridade competente ateste que as condições e os preços permanecem vantajosos para a Administração, permitida a negociação com o contratado ou a extinção contratual sem ônus para qualquer das partes.</w:t>
      </w:r>
    </w:p>
    <w:p w14:paraId="7D30EFEC" w14:textId="77777777" w:rsidR="00903B78" w:rsidRDefault="00903B78" w:rsidP="00903B78">
      <w:pPr>
        <w:pStyle w:val="PargrafodaLista"/>
        <w:ind w:left="360"/>
        <w:rPr>
          <w:rFonts w:ascii="Arial" w:hAnsi="Arial" w:cs="Arial"/>
          <w:b/>
        </w:rPr>
      </w:pPr>
    </w:p>
    <w:p w14:paraId="4D48A239" w14:textId="27007872" w:rsidR="00903B78" w:rsidRDefault="00903B78" w:rsidP="002A6BF9">
      <w:pPr>
        <w:pStyle w:val="PargrafodaLista"/>
        <w:numPr>
          <w:ilvl w:val="0"/>
          <w:numId w:val="29"/>
        </w:numPr>
        <w:rPr>
          <w:rFonts w:ascii="Arial" w:hAnsi="Arial" w:cs="Arial"/>
          <w:b/>
        </w:rPr>
      </w:pPr>
      <w:r>
        <w:rPr>
          <w:rFonts w:ascii="Arial" w:hAnsi="Arial" w:cs="Arial"/>
          <w:b/>
        </w:rPr>
        <w:t xml:space="preserve">DOTAÇÃO ORÇAMENTÁRIA </w:t>
      </w:r>
    </w:p>
    <w:p w14:paraId="2F2B1162" w14:textId="77777777" w:rsidR="005A20A2" w:rsidRPr="00104E62" w:rsidRDefault="005A20A2" w:rsidP="00104E62">
      <w:pPr>
        <w:autoSpaceDE w:val="0"/>
        <w:autoSpaceDN w:val="0"/>
        <w:adjustRightInd w:val="0"/>
        <w:spacing w:after="240" w:line="360" w:lineRule="auto"/>
        <w:jc w:val="both"/>
      </w:pPr>
      <w:r w:rsidRPr="00104E62">
        <w:t xml:space="preserve">Prevê </w:t>
      </w:r>
      <w:r w:rsidRPr="00265230">
        <w:t>o art. 72, inciso IV, da Lei Federal n. 14.133/2021 que o dispêndio financeiro resultante da contratação que se pretende realizar deve ser compatível com a previsão de recursos orçamentários da administração</w:t>
      </w:r>
      <w:r w:rsidRPr="00104E62">
        <w:t>:</w:t>
      </w:r>
    </w:p>
    <w:p w14:paraId="2246A2E3" w14:textId="77777777" w:rsidR="005A20A2" w:rsidRPr="00265230" w:rsidRDefault="005A20A2" w:rsidP="005A20A2">
      <w:pPr>
        <w:tabs>
          <w:tab w:val="left" w:pos="2340"/>
          <w:tab w:val="left" w:pos="4464"/>
        </w:tabs>
        <w:spacing w:line="240" w:lineRule="auto"/>
        <w:ind w:left="2268"/>
        <w:jc w:val="both"/>
        <w:rPr>
          <w:bCs/>
          <w:sz w:val="18"/>
          <w:szCs w:val="18"/>
        </w:rPr>
      </w:pPr>
    </w:p>
    <w:p w14:paraId="0AE3A07B" w14:textId="77777777" w:rsidR="005A20A2" w:rsidRPr="00265230" w:rsidRDefault="005A20A2" w:rsidP="005A20A2">
      <w:pPr>
        <w:tabs>
          <w:tab w:val="left" w:pos="2340"/>
          <w:tab w:val="left" w:pos="4464"/>
        </w:tabs>
        <w:spacing w:line="240" w:lineRule="auto"/>
        <w:ind w:left="2268"/>
        <w:jc w:val="both"/>
        <w:rPr>
          <w:bCs/>
          <w:sz w:val="18"/>
          <w:szCs w:val="18"/>
        </w:rPr>
      </w:pPr>
      <w:r w:rsidRPr="00265230">
        <w:rPr>
          <w:bCs/>
          <w:sz w:val="18"/>
          <w:szCs w:val="18"/>
        </w:rPr>
        <w:t>Art. 72. O processo de contratação direta, que compreende os casos de inexigibilidade e de dispensa de licitação, deverá ser instruído com os seguintes documentos: [...]</w:t>
      </w:r>
    </w:p>
    <w:p w14:paraId="59904322" w14:textId="77777777" w:rsidR="005A20A2" w:rsidRPr="00265230" w:rsidRDefault="005A20A2" w:rsidP="005A20A2">
      <w:pPr>
        <w:tabs>
          <w:tab w:val="left" w:pos="2340"/>
          <w:tab w:val="left" w:pos="4464"/>
        </w:tabs>
        <w:spacing w:line="240" w:lineRule="auto"/>
        <w:ind w:left="2268"/>
        <w:jc w:val="both"/>
        <w:rPr>
          <w:bCs/>
          <w:sz w:val="18"/>
          <w:szCs w:val="18"/>
        </w:rPr>
      </w:pPr>
      <w:r w:rsidRPr="00265230">
        <w:rPr>
          <w:bCs/>
          <w:sz w:val="18"/>
          <w:szCs w:val="18"/>
        </w:rPr>
        <w:t xml:space="preserve">IV - </w:t>
      </w:r>
      <w:proofErr w:type="gramStart"/>
      <w:r w:rsidRPr="00265230">
        <w:rPr>
          <w:bCs/>
          <w:sz w:val="18"/>
          <w:szCs w:val="18"/>
        </w:rPr>
        <w:t>demonstração</w:t>
      </w:r>
      <w:proofErr w:type="gramEnd"/>
      <w:r w:rsidRPr="00265230">
        <w:rPr>
          <w:bCs/>
          <w:sz w:val="18"/>
          <w:szCs w:val="18"/>
        </w:rPr>
        <w:t xml:space="preserve"> da compatibilidade da previsão de recursos orçamentários com o compromisso a ser assumido; [...]</w:t>
      </w:r>
    </w:p>
    <w:p w14:paraId="0E6C4EE3" w14:textId="77777777" w:rsidR="005A20A2" w:rsidRPr="00265230" w:rsidRDefault="005A20A2" w:rsidP="005A20A2">
      <w:pPr>
        <w:rPr>
          <w:b/>
        </w:rPr>
      </w:pPr>
    </w:p>
    <w:p w14:paraId="305C4EC2" w14:textId="3655E432" w:rsidR="00104E62" w:rsidRDefault="00104E62" w:rsidP="00104E62">
      <w:pPr>
        <w:autoSpaceDE w:val="0"/>
        <w:autoSpaceDN w:val="0"/>
        <w:adjustRightInd w:val="0"/>
        <w:spacing w:after="240" w:line="360" w:lineRule="auto"/>
        <w:jc w:val="both"/>
      </w:pPr>
      <w:r w:rsidRPr="00763035">
        <w:lastRenderedPageBreak/>
        <w:t>As despesas para a execução do objeto do presente Processo Administrativo Licitatório ocorrerão a conta de dotação específica do orçamento do exercício de 2025.</w:t>
      </w:r>
    </w:p>
    <w:p w14:paraId="2567681A" w14:textId="6568E4B5" w:rsidR="00763035" w:rsidRPr="00763035" w:rsidRDefault="00763035" w:rsidP="00763035">
      <w:pPr>
        <w:autoSpaceDE w:val="0"/>
        <w:autoSpaceDN w:val="0"/>
        <w:adjustRightInd w:val="0"/>
        <w:spacing w:line="360" w:lineRule="auto"/>
        <w:jc w:val="both"/>
      </w:pPr>
      <w:r w:rsidRPr="00763035">
        <w:t>Órgão 01.00 - CONSÓRCIO INTERMUNICIPAL MULTIFINARITÁRIO DA AMNOROESTE</w:t>
      </w:r>
    </w:p>
    <w:p w14:paraId="041AD1CB" w14:textId="275D676C" w:rsidR="00763035" w:rsidRPr="00763035" w:rsidRDefault="00763035" w:rsidP="00763035">
      <w:pPr>
        <w:autoSpaceDE w:val="0"/>
        <w:autoSpaceDN w:val="0"/>
        <w:adjustRightInd w:val="0"/>
        <w:spacing w:line="360" w:lineRule="auto"/>
        <w:jc w:val="both"/>
      </w:pPr>
      <w:r w:rsidRPr="00763035">
        <w:t>Unidade</w:t>
      </w:r>
      <w:r>
        <w:t xml:space="preserve">: </w:t>
      </w:r>
      <w:r w:rsidRPr="00763035">
        <w:t xml:space="preserve"> MANUTENÇÃO DO PROGRAMA LICENCIAMENTO AMBIENTAL– PLA</w:t>
      </w:r>
    </w:p>
    <w:p w14:paraId="6E9D9390" w14:textId="099D936A" w:rsidR="00763035" w:rsidRDefault="00763035" w:rsidP="00763035">
      <w:pPr>
        <w:autoSpaceDE w:val="0"/>
        <w:autoSpaceDN w:val="0"/>
        <w:adjustRightInd w:val="0"/>
        <w:spacing w:line="360" w:lineRule="auto"/>
        <w:jc w:val="both"/>
      </w:pPr>
      <w:r w:rsidRPr="00763035">
        <w:t>Funcional: 18.542.0003.2.003</w:t>
      </w:r>
    </w:p>
    <w:p w14:paraId="7D2CF14B" w14:textId="4555604B" w:rsidR="00763035" w:rsidRPr="00763035" w:rsidRDefault="00763035" w:rsidP="00763035">
      <w:pPr>
        <w:autoSpaceDE w:val="0"/>
        <w:autoSpaceDN w:val="0"/>
        <w:adjustRightInd w:val="0"/>
        <w:spacing w:line="360" w:lineRule="auto"/>
        <w:jc w:val="both"/>
      </w:pPr>
      <w:r>
        <w:t xml:space="preserve">Elemento: </w:t>
      </w:r>
      <w:r w:rsidRPr="00763035">
        <w:t>3.3.90.00.00.00.00.00</w:t>
      </w:r>
    </w:p>
    <w:p w14:paraId="775BF0B7" w14:textId="72ED14A7" w:rsidR="00763035" w:rsidRPr="00763035" w:rsidRDefault="00763035" w:rsidP="00763035">
      <w:pPr>
        <w:autoSpaceDE w:val="0"/>
        <w:autoSpaceDN w:val="0"/>
        <w:adjustRightInd w:val="0"/>
        <w:spacing w:after="240" w:line="360" w:lineRule="auto"/>
        <w:jc w:val="both"/>
      </w:pPr>
      <w:r w:rsidRPr="00763035">
        <w:t>Fonte de Recursos - 1.880.0000.0000</w:t>
      </w:r>
    </w:p>
    <w:p w14:paraId="5A4BFA26" w14:textId="00ECA04D" w:rsidR="005A20A2" w:rsidRPr="00104E62" w:rsidRDefault="00104E62" w:rsidP="00104E62">
      <w:pPr>
        <w:autoSpaceDE w:val="0"/>
        <w:autoSpaceDN w:val="0"/>
        <w:adjustRightInd w:val="0"/>
        <w:spacing w:after="240" w:line="360" w:lineRule="auto"/>
        <w:jc w:val="both"/>
      </w:pPr>
      <w:r w:rsidRPr="00104E62">
        <w:t>Assim, utilizando-se da estimativa do valor da contratação resultante da pesquisa de preços realizada, verifica-se a compatibilidade de valores, conforme saldo atualmente disponível.</w:t>
      </w:r>
    </w:p>
    <w:p w14:paraId="6FDE97AD" w14:textId="53F2E1CB" w:rsidR="006641DE" w:rsidRPr="00265230" w:rsidRDefault="006641DE" w:rsidP="002A6BF9">
      <w:pPr>
        <w:pStyle w:val="PargrafodaLista"/>
        <w:numPr>
          <w:ilvl w:val="0"/>
          <w:numId w:val="29"/>
        </w:numPr>
        <w:autoSpaceDE w:val="0"/>
        <w:autoSpaceDN w:val="0"/>
        <w:adjustRightInd w:val="0"/>
        <w:spacing w:line="360" w:lineRule="auto"/>
        <w:jc w:val="both"/>
        <w:rPr>
          <w:rFonts w:ascii="Arial" w:hAnsi="Arial" w:cs="Arial"/>
          <w:b/>
          <w:bCs/>
        </w:rPr>
      </w:pPr>
      <w:r w:rsidRPr="00265230">
        <w:rPr>
          <w:rFonts w:ascii="Arial" w:hAnsi="Arial" w:cs="Arial"/>
          <w:b/>
          <w:bCs/>
        </w:rPr>
        <w:t xml:space="preserve">JUSTIFICATIVA DA ESCOLHA DO FORNECEDOR </w:t>
      </w:r>
    </w:p>
    <w:p w14:paraId="7134CBA8" w14:textId="77777777" w:rsidR="00104E62" w:rsidRDefault="00104E62" w:rsidP="00104E62">
      <w:pPr>
        <w:autoSpaceDE w:val="0"/>
        <w:autoSpaceDN w:val="0"/>
        <w:adjustRightInd w:val="0"/>
        <w:spacing w:after="240" w:line="360" w:lineRule="auto"/>
        <w:jc w:val="both"/>
      </w:pPr>
      <w:r>
        <w:t>Prevê o art. 72, incisos V a VII, da Lei Federal n. 14.133/2021 que a justificativa de escolha do contratado e de seu preço, assim como a comprovação da habilitação, deverá constar no processo de contratação direta, nos seguintes termos:</w:t>
      </w:r>
    </w:p>
    <w:p w14:paraId="1175DD1A" w14:textId="77777777" w:rsidR="00104E62" w:rsidRPr="00104E62" w:rsidRDefault="00104E62" w:rsidP="00104E62">
      <w:pPr>
        <w:tabs>
          <w:tab w:val="left" w:pos="2340"/>
          <w:tab w:val="left" w:pos="4464"/>
        </w:tabs>
        <w:spacing w:line="240" w:lineRule="auto"/>
        <w:ind w:left="2268"/>
        <w:jc w:val="both"/>
        <w:rPr>
          <w:bCs/>
          <w:sz w:val="18"/>
          <w:szCs w:val="18"/>
        </w:rPr>
      </w:pPr>
      <w:r w:rsidRPr="00104E62">
        <w:rPr>
          <w:bCs/>
          <w:sz w:val="18"/>
          <w:szCs w:val="18"/>
        </w:rPr>
        <w:t xml:space="preserve">Art. 72. O processo de contratação direta, que compreende os casos de inexigibilidade e de dispensa de licitação, deverá ser instruído com os seguintes documentos: [...] </w:t>
      </w:r>
    </w:p>
    <w:p w14:paraId="71AFE5AA" w14:textId="77777777" w:rsidR="00104E62" w:rsidRPr="00104E62" w:rsidRDefault="00104E62" w:rsidP="00104E62">
      <w:pPr>
        <w:tabs>
          <w:tab w:val="left" w:pos="2340"/>
          <w:tab w:val="left" w:pos="4464"/>
        </w:tabs>
        <w:spacing w:line="240" w:lineRule="auto"/>
        <w:ind w:left="2268"/>
        <w:jc w:val="both"/>
        <w:rPr>
          <w:bCs/>
          <w:sz w:val="18"/>
          <w:szCs w:val="18"/>
        </w:rPr>
      </w:pPr>
      <w:r w:rsidRPr="00104E62">
        <w:rPr>
          <w:bCs/>
          <w:sz w:val="18"/>
          <w:szCs w:val="18"/>
        </w:rPr>
        <w:t xml:space="preserve">V - </w:t>
      </w:r>
      <w:proofErr w:type="gramStart"/>
      <w:r w:rsidRPr="00104E62">
        <w:rPr>
          <w:bCs/>
          <w:sz w:val="18"/>
          <w:szCs w:val="18"/>
        </w:rPr>
        <w:t>comprovação</w:t>
      </w:r>
      <w:proofErr w:type="gramEnd"/>
      <w:r w:rsidRPr="00104E62">
        <w:rPr>
          <w:bCs/>
          <w:sz w:val="18"/>
          <w:szCs w:val="18"/>
        </w:rPr>
        <w:t xml:space="preserve"> de que o contratado preenche os requisitos de habilitação e qualificação mínima necessária;</w:t>
      </w:r>
    </w:p>
    <w:p w14:paraId="040AA5F2" w14:textId="77777777" w:rsidR="00104E62" w:rsidRPr="00104E62" w:rsidRDefault="00104E62" w:rsidP="00104E62">
      <w:pPr>
        <w:tabs>
          <w:tab w:val="left" w:pos="2340"/>
          <w:tab w:val="left" w:pos="4464"/>
        </w:tabs>
        <w:spacing w:line="240" w:lineRule="auto"/>
        <w:ind w:left="2268"/>
        <w:jc w:val="both"/>
        <w:rPr>
          <w:bCs/>
          <w:sz w:val="18"/>
          <w:szCs w:val="18"/>
        </w:rPr>
      </w:pPr>
      <w:r w:rsidRPr="00104E62">
        <w:rPr>
          <w:bCs/>
          <w:sz w:val="18"/>
          <w:szCs w:val="18"/>
        </w:rPr>
        <w:t xml:space="preserve">VI - </w:t>
      </w:r>
      <w:proofErr w:type="gramStart"/>
      <w:r w:rsidRPr="00104E62">
        <w:rPr>
          <w:bCs/>
          <w:sz w:val="18"/>
          <w:szCs w:val="18"/>
        </w:rPr>
        <w:t>razão</w:t>
      </w:r>
      <w:proofErr w:type="gramEnd"/>
      <w:r w:rsidRPr="00104E62">
        <w:rPr>
          <w:bCs/>
          <w:sz w:val="18"/>
          <w:szCs w:val="18"/>
        </w:rPr>
        <w:t xml:space="preserve"> da escolha do contratado;</w:t>
      </w:r>
    </w:p>
    <w:p w14:paraId="278CD9B5" w14:textId="77777777" w:rsidR="00104E62" w:rsidRPr="00104E62" w:rsidRDefault="00104E62" w:rsidP="00903B78">
      <w:pPr>
        <w:tabs>
          <w:tab w:val="left" w:pos="2340"/>
          <w:tab w:val="left" w:pos="4464"/>
        </w:tabs>
        <w:spacing w:after="240" w:line="240" w:lineRule="auto"/>
        <w:ind w:left="2268"/>
        <w:jc w:val="both"/>
        <w:rPr>
          <w:bCs/>
          <w:sz w:val="18"/>
          <w:szCs w:val="18"/>
        </w:rPr>
      </w:pPr>
      <w:r w:rsidRPr="00104E62">
        <w:rPr>
          <w:bCs/>
          <w:sz w:val="18"/>
          <w:szCs w:val="18"/>
        </w:rPr>
        <w:t>VII - justificativa de preço; [...]</w:t>
      </w:r>
    </w:p>
    <w:p w14:paraId="6188AF59" w14:textId="77777777" w:rsidR="00104E62" w:rsidRDefault="00104E62" w:rsidP="00104E62">
      <w:pPr>
        <w:autoSpaceDE w:val="0"/>
        <w:autoSpaceDN w:val="0"/>
        <w:adjustRightInd w:val="0"/>
        <w:spacing w:after="240" w:line="360" w:lineRule="auto"/>
        <w:jc w:val="both"/>
      </w:pPr>
      <w:r>
        <w:t>Como regra, a escolha do contratado – e consequentemente do preço a ser contratado e a comprovação de sua habilitação – dar-se-á em momento seguinte ao Termo de Referência, o qual, tratando-se de contratação direta, busca sintetizar as principais informações acerca do objeto a ser contratado e das condições que regerão a futura contratação. Ao contrário do que ocorre em um processo licitatório, não seria cabível expor no Termo de Referência um método objetivo para seleção de fornecer, eis que se estaria a esboçar um processo licitatório, não uma contratação direta.</w:t>
      </w:r>
    </w:p>
    <w:p w14:paraId="53BBC4D2" w14:textId="77777777" w:rsidR="00104E62" w:rsidRDefault="00104E62" w:rsidP="00104E62">
      <w:pPr>
        <w:autoSpaceDE w:val="0"/>
        <w:autoSpaceDN w:val="0"/>
        <w:adjustRightInd w:val="0"/>
        <w:spacing w:after="240" w:line="360" w:lineRule="auto"/>
        <w:jc w:val="both"/>
      </w:pPr>
      <w:r>
        <w:t xml:space="preserve"> Assim, para fins de cumprimento do disposto no art. 72, incisos V a VII, da Lei Federal n. 14.133/2021, a Administração deverá, nesse momento posterior ao Termo de Referência, demonstrar que aquele que pretende contratar preenche todos os requisitos previstos neste Termo de Referência, necessários à execução do objeto, e que seu preço é compatível com o mercado, de modo a garantir a objetividade, isonomia e publicidade necessária a todas as contratações.</w:t>
      </w:r>
    </w:p>
    <w:p w14:paraId="657A7DCF" w14:textId="77777777" w:rsidR="00104E62" w:rsidRDefault="00104E62" w:rsidP="00104E62">
      <w:pPr>
        <w:autoSpaceDE w:val="0"/>
        <w:autoSpaceDN w:val="0"/>
        <w:adjustRightInd w:val="0"/>
        <w:spacing w:after="240" w:line="360" w:lineRule="auto"/>
        <w:jc w:val="both"/>
      </w:pPr>
      <w:r>
        <w:t>Nesse sentido, dispõe Joel de Menezes Niebuhr7:</w:t>
      </w:r>
    </w:p>
    <w:p w14:paraId="27396004" w14:textId="77777777" w:rsidR="00104E62" w:rsidRPr="00104E62" w:rsidRDefault="00104E62" w:rsidP="00104E62">
      <w:pPr>
        <w:tabs>
          <w:tab w:val="left" w:pos="2340"/>
          <w:tab w:val="left" w:pos="4464"/>
        </w:tabs>
        <w:spacing w:after="240" w:line="240" w:lineRule="auto"/>
        <w:ind w:left="2268"/>
        <w:jc w:val="both"/>
        <w:rPr>
          <w:bCs/>
          <w:sz w:val="18"/>
          <w:szCs w:val="18"/>
        </w:rPr>
      </w:pPr>
      <w:r w:rsidRPr="00104E62">
        <w:rPr>
          <w:bCs/>
          <w:sz w:val="18"/>
          <w:szCs w:val="18"/>
        </w:rPr>
        <w:lastRenderedPageBreak/>
        <w:t>[...] depois de definir o objeto e as condições de execução do futuro contrato (inciso I do artigo 72), depois de definir o preço de referência (inciso II do artigo 72) e de realizar as previsões orçamentárias (inciso IV do artigo 72), a Administração Pública deve escolher com quem contratar e justificar a sua opção (inciso VI do artigo 72), o que passa pela apuração da proposta para si mais vantajosa (inciso VII do artigo 72) e pela investigação das qualificações do futuro contratado (inciso V do artigo 72). Nessa fase, ela não precisa tratar todos os possíveis interessados com igualdade, o que seria necessário se ela devesse proceder à licitação pública. Repita-se, nos casos de dispensa e de inexigibilidade são aceitos agravos à isonomia, que cede parcialmente em face da impossibilidade de realizar a licitação pública ou da proteção de outros valores relacionados ao interesse público. Contudo, no mesmo passo, não se quer afirmar que a isonomia é derrogada por completo, porque a Administração Pública não pode fazer valer discriminações desproporcionais e desnecessárias. Portanto, para escolher o contratante, a Administração Pública não é obrigada a tratar todos os possíveis interessados com igualdade, todavia, deve fazê-lo na maior medida possível.</w:t>
      </w:r>
    </w:p>
    <w:p w14:paraId="5F254FEB" w14:textId="77777777" w:rsidR="00104E62" w:rsidRDefault="00104E62" w:rsidP="00104E62">
      <w:pPr>
        <w:autoSpaceDE w:val="0"/>
        <w:autoSpaceDN w:val="0"/>
        <w:adjustRightInd w:val="0"/>
        <w:spacing w:line="360" w:lineRule="auto"/>
        <w:ind w:firstLine="709"/>
        <w:jc w:val="both"/>
      </w:pPr>
    </w:p>
    <w:p w14:paraId="3577DBBD" w14:textId="77777777" w:rsidR="00104E62" w:rsidRDefault="00104E62" w:rsidP="00104E62">
      <w:pPr>
        <w:autoSpaceDE w:val="0"/>
        <w:autoSpaceDN w:val="0"/>
        <w:adjustRightInd w:val="0"/>
        <w:spacing w:after="240" w:line="360" w:lineRule="auto"/>
        <w:jc w:val="both"/>
      </w:pPr>
      <w:r>
        <w:t>E, Juliano Heinen8:</w:t>
      </w:r>
    </w:p>
    <w:p w14:paraId="5235B4AE" w14:textId="77777777" w:rsidR="00104E62" w:rsidRPr="00104E62" w:rsidRDefault="00104E62" w:rsidP="00104E62">
      <w:pPr>
        <w:tabs>
          <w:tab w:val="left" w:pos="2340"/>
          <w:tab w:val="left" w:pos="4464"/>
        </w:tabs>
        <w:spacing w:after="240" w:line="240" w:lineRule="auto"/>
        <w:ind w:left="2268"/>
        <w:jc w:val="both"/>
        <w:rPr>
          <w:bCs/>
          <w:sz w:val="18"/>
          <w:szCs w:val="18"/>
        </w:rPr>
      </w:pPr>
      <w:r w:rsidRPr="00104E62">
        <w:rPr>
          <w:bCs/>
          <w:sz w:val="18"/>
          <w:szCs w:val="18"/>
        </w:rPr>
        <w:t>Trata-se de mais uma providência que, se de um lado melhora o controle das contratações públicas, de outro aumenta significativamente a burocracia. A justificativa objetiva sobre o fornecedor não pode ser levada ao extremo ou tornada absoluta. De outro lado, não se pode admitir que o processo de contratação direta se dê em função de mera indicação de critérios evidentemente subjetivos para a escolha do aludido contratado, sem a necessária justificativa. Há de se ter um equilíbrio aqui.</w:t>
      </w:r>
    </w:p>
    <w:p w14:paraId="1448CFFE" w14:textId="564DBC4F" w:rsidR="00265230" w:rsidRDefault="00104E62" w:rsidP="00104E62">
      <w:pPr>
        <w:autoSpaceDE w:val="0"/>
        <w:autoSpaceDN w:val="0"/>
        <w:adjustRightInd w:val="0"/>
        <w:spacing w:after="240" w:line="360" w:lineRule="auto"/>
        <w:jc w:val="both"/>
      </w:pPr>
      <w:r>
        <w:t>Assim, configura-se como suficiente para escolha do fornecedor a demonstração de preenchimento de todos os requisitos previstos neste Termo de Referência, necessários para a execução do objeto, e de compatibilidade do preço contratado com o praticado no mercado e com o limite para dispensa por baixo valor</w:t>
      </w:r>
      <w:r w:rsidR="00B555D4">
        <w:t>, sempre considerando a proposta mais vantajosa para a administração prevalecerá.</w:t>
      </w:r>
    </w:p>
    <w:p w14:paraId="07132F25" w14:textId="4024626D" w:rsidR="003D6865" w:rsidRPr="00265230" w:rsidRDefault="003D6865" w:rsidP="002A6BF9">
      <w:pPr>
        <w:pStyle w:val="PargrafodaLista"/>
        <w:numPr>
          <w:ilvl w:val="0"/>
          <w:numId w:val="29"/>
        </w:numPr>
        <w:autoSpaceDE w:val="0"/>
        <w:autoSpaceDN w:val="0"/>
        <w:adjustRightInd w:val="0"/>
        <w:spacing w:line="360" w:lineRule="auto"/>
        <w:jc w:val="both"/>
        <w:rPr>
          <w:rFonts w:ascii="Arial" w:hAnsi="Arial" w:cs="Arial"/>
        </w:rPr>
      </w:pPr>
      <w:r w:rsidRPr="00265230">
        <w:rPr>
          <w:rFonts w:ascii="Arial" w:hAnsi="Arial" w:cs="Arial"/>
          <w:b/>
          <w:bCs/>
        </w:rPr>
        <w:t xml:space="preserve"> HABILITAÇÃO </w:t>
      </w:r>
    </w:p>
    <w:p w14:paraId="5EEE3F46" w14:textId="67C2C4AB" w:rsidR="003D6865" w:rsidRPr="00265230" w:rsidRDefault="003D6865" w:rsidP="00562D1A">
      <w:pPr>
        <w:autoSpaceDE w:val="0"/>
        <w:autoSpaceDN w:val="0"/>
        <w:adjustRightInd w:val="0"/>
        <w:spacing w:after="240" w:line="360" w:lineRule="auto"/>
        <w:ind w:firstLine="709"/>
        <w:jc w:val="both"/>
      </w:pPr>
      <w:r w:rsidRPr="00265230">
        <w:t>Os documentos a serem exigidos, para fins de habilitação, deverão ser enviados juntamente com o cadastro da proposta inicial</w:t>
      </w:r>
      <w:r w:rsidR="00AB0F82" w:rsidRPr="00265230">
        <w:t>.</w:t>
      </w:r>
    </w:p>
    <w:p w14:paraId="093EF54F" w14:textId="4BC93B3D" w:rsidR="00DF5A61" w:rsidRPr="00265230" w:rsidRDefault="003D6865" w:rsidP="00DF5A61">
      <w:pPr>
        <w:pStyle w:val="PargrafodaLista"/>
        <w:numPr>
          <w:ilvl w:val="1"/>
          <w:numId w:val="8"/>
        </w:numPr>
        <w:autoSpaceDE w:val="0"/>
        <w:autoSpaceDN w:val="0"/>
        <w:adjustRightInd w:val="0"/>
        <w:spacing w:line="360" w:lineRule="auto"/>
        <w:jc w:val="both"/>
        <w:rPr>
          <w:rFonts w:ascii="Arial" w:hAnsi="Arial" w:cs="Arial"/>
        </w:rPr>
      </w:pPr>
      <w:r w:rsidRPr="00265230">
        <w:rPr>
          <w:rFonts w:ascii="Arial" w:hAnsi="Arial" w:cs="Arial"/>
        </w:rPr>
        <w:t xml:space="preserve">Certidão Negativa Municipal </w:t>
      </w:r>
      <w:r w:rsidR="00DF5A61" w:rsidRPr="00265230">
        <w:rPr>
          <w:rFonts w:ascii="Arial" w:hAnsi="Arial" w:cs="Arial"/>
        </w:rPr>
        <w:t xml:space="preserve">da </w:t>
      </w:r>
      <w:r w:rsidRPr="00265230">
        <w:rPr>
          <w:rFonts w:ascii="Arial" w:hAnsi="Arial" w:cs="Arial"/>
        </w:rPr>
        <w:t>sede do fornecedor, relativa à atividade em cujo exercício contrata</w:t>
      </w:r>
      <w:r w:rsidR="00DF5A61" w:rsidRPr="00265230">
        <w:rPr>
          <w:rFonts w:ascii="Arial" w:hAnsi="Arial" w:cs="Arial"/>
        </w:rPr>
        <w:t>;</w:t>
      </w:r>
    </w:p>
    <w:p w14:paraId="3EDF0122" w14:textId="31118C45" w:rsidR="003D6865" w:rsidRPr="00265230" w:rsidRDefault="003D6865" w:rsidP="00DF5A61">
      <w:pPr>
        <w:pStyle w:val="PargrafodaLista"/>
        <w:numPr>
          <w:ilvl w:val="1"/>
          <w:numId w:val="8"/>
        </w:numPr>
        <w:autoSpaceDE w:val="0"/>
        <w:autoSpaceDN w:val="0"/>
        <w:adjustRightInd w:val="0"/>
        <w:spacing w:line="360" w:lineRule="auto"/>
        <w:jc w:val="both"/>
        <w:rPr>
          <w:rFonts w:ascii="Arial" w:hAnsi="Arial" w:cs="Arial"/>
        </w:rPr>
      </w:pPr>
      <w:r w:rsidRPr="00265230">
        <w:rPr>
          <w:rFonts w:ascii="Arial" w:hAnsi="Arial" w:cs="Arial"/>
        </w:rPr>
        <w:t xml:space="preserve"> Certidão Negativa Estadual; </w:t>
      </w:r>
    </w:p>
    <w:p w14:paraId="0C3B5BEF" w14:textId="77777777" w:rsidR="003D6865" w:rsidRPr="00265230" w:rsidRDefault="003D6865" w:rsidP="00DF5A61">
      <w:pPr>
        <w:pStyle w:val="PargrafodaLista"/>
        <w:numPr>
          <w:ilvl w:val="1"/>
          <w:numId w:val="8"/>
        </w:numPr>
        <w:autoSpaceDE w:val="0"/>
        <w:autoSpaceDN w:val="0"/>
        <w:adjustRightInd w:val="0"/>
        <w:spacing w:line="360" w:lineRule="auto"/>
        <w:jc w:val="both"/>
        <w:rPr>
          <w:rFonts w:ascii="Arial" w:hAnsi="Arial" w:cs="Arial"/>
        </w:rPr>
      </w:pPr>
      <w:r w:rsidRPr="00265230">
        <w:rPr>
          <w:rFonts w:ascii="Arial" w:hAnsi="Arial" w:cs="Arial"/>
        </w:rPr>
        <w:t>Certidão Negativa Federal;</w:t>
      </w:r>
    </w:p>
    <w:p w14:paraId="5C42867C" w14:textId="77777777" w:rsidR="003D6865" w:rsidRPr="00265230" w:rsidRDefault="003D6865" w:rsidP="00DF5A61">
      <w:pPr>
        <w:pStyle w:val="PargrafodaLista"/>
        <w:numPr>
          <w:ilvl w:val="1"/>
          <w:numId w:val="8"/>
        </w:numPr>
        <w:autoSpaceDE w:val="0"/>
        <w:autoSpaceDN w:val="0"/>
        <w:adjustRightInd w:val="0"/>
        <w:spacing w:line="360" w:lineRule="auto"/>
        <w:jc w:val="both"/>
        <w:rPr>
          <w:rFonts w:ascii="Arial" w:hAnsi="Arial" w:cs="Arial"/>
        </w:rPr>
      </w:pPr>
      <w:r w:rsidRPr="00265230">
        <w:rPr>
          <w:rFonts w:ascii="Arial" w:hAnsi="Arial" w:cs="Arial"/>
        </w:rPr>
        <w:t xml:space="preserve">Certidão Negativa Trabalhista; </w:t>
      </w:r>
    </w:p>
    <w:p w14:paraId="7F2E38C1" w14:textId="33B4CCF0" w:rsidR="003D6865" w:rsidRPr="00265230" w:rsidRDefault="003D6865" w:rsidP="00DF5A61">
      <w:pPr>
        <w:pStyle w:val="PargrafodaLista"/>
        <w:numPr>
          <w:ilvl w:val="1"/>
          <w:numId w:val="8"/>
        </w:numPr>
        <w:autoSpaceDE w:val="0"/>
        <w:autoSpaceDN w:val="0"/>
        <w:adjustRightInd w:val="0"/>
        <w:spacing w:line="360" w:lineRule="auto"/>
        <w:jc w:val="both"/>
        <w:rPr>
          <w:rFonts w:ascii="Arial" w:hAnsi="Arial" w:cs="Arial"/>
        </w:rPr>
      </w:pPr>
      <w:r w:rsidRPr="00265230">
        <w:rPr>
          <w:rFonts w:ascii="Arial" w:hAnsi="Arial" w:cs="Arial"/>
        </w:rPr>
        <w:t xml:space="preserve">Certificado de Regularidade com o Fundo de Garantia do Tempo de Serviço FGTS;  </w:t>
      </w:r>
    </w:p>
    <w:p w14:paraId="2B445207" w14:textId="77777777" w:rsidR="003D6865" w:rsidRPr="00265230" w:rsidRDefault="003D6865" w:rsidP="00DF5A61">
      <w:pPr>
        <w:pStyle w:val="PargrafodaLista"/>
        <w:numPr>
          <w:ilvl w:val="1"/>
          <w:numId w:val="8"/>
        </w:numPr>
        <w:autoSpaceDE w:val="0"/>
        <w:autoSpaceDN w:val="0"/>
        <w:adjustRightInd w:val="0"/>
        <w:spacing w:line="360" w:lineRule="auto"/>
        <w:jc w:val="both"/>
        <w:rPr>
          <w:rFonts w:ascii="Arial" w:hAnsi="Arial" w:cs="Arial"/>
        </w:rPr>
      </w:pPr>
      <w:r w:rsidRPr="00265230">
        <w:rPr>
          <w:rFonts w:ascii="Arial" w:hAnsi="Arial" w:cs="Arial"/>
        </w:rPr>
        <w:t>Certidão de Recuperação Judicial, Extrajudicial e Falência;</w:t>
      </w:r>
    </w:p>
    <w:p w14:paraId="06045F09" w14:textId="4DA4DC89" w:rsidR="003D6865" w:rsidRPr="00265230" w:rsidRDefault="003D6865" w:rsidP="00DF5A61">
      <w:pPr>
        <w:pStyle w:val="PargrafodaLista"/>
        <w:numPr>
          <w:ilvl w:val="1"/>
          <w:numId w:val="8"/>
        </w:numPr>
        <w:autoSpaceDE w:val="0"/>
        <w:autoSpaceDN w:val="0"/>
        <w:adjustRightInd w:val="0"/>
        <w:spacing w:line="360" w:lineRule="auto"/>
        <w:jc w:val="both"/>
        <w:rPr>
          <w:rFonts w:ascii="Arial" w:hAnsi="Arial" w:cs="Arial"/>
        </w:rPr>
      </w:pPr>
      <w:r w:rsidRPr="00265230">
        <w:rPr>
          <w:rFonts w:ascii="Arial" w:hAnsi="Arial" w:cs="Arial"/>
        </w:rPr>
        <w:t>Certidão Consolidada de Pessoa Jurídica - TCU;</w:t>
      </w:r>
    </w:p>
    <w:p w14:paraId="1E1E40AD" w14:textId="283A9370" w:rsidR="003D6865" w:rsidRPr="00265230" w:rsidRDefault="003D6865" w:rsidP="00DF5A61">
      <w:pPr>
        <w:pStyle w:val="PargrafodaLista"/>
        <w:numPr>
          <w:ilvl w:val="1"/>
          <w:numId w:val="8"/>
        </w:numPr>
        <w:autoSpaceDE w:val="0"/>
        <w:autoSpaceDN w:val="0"/>
        <w:adjustRightInd w:val="0"/>
        <w:spacing w:line="360" w:lineRule="auto"/>
        <w:jc w:val="both"/>
        <w:rPr>
          <w:rFonts w:ascii="Arial" w:hAnsi="Arial" w:cs="Arial"/>
        </w:rPr>
      </w:pPr>
      <w:r w:rsidRPr="00265230">
        <w:rPr>
          <w:rFonts w:ascii="Arial" w:hAnsi="Arial" w:cs="Arial"/>
        </w:rPr>
        <w:lastRenderedPageBreak/>
        <w:t xml:space="preserve">Prova de inscrição no Cadastro Nacional de Pessoas Jurídicas ou no Cadastro de Pessoas Físicas, conforme o caso; </w:t>
      </w:r>
    </w:p>
    <w:p w14:paraId="7A77A39E" w14:textId="4238BC55" w:rsidR="003D6865" w:rsidRPr="00265230" w:rsidRDefault="003D6865" w:rsidP="00DF5A61">
      <w:pPr>
        <w:pStyle w:val="PargrafodaLista"/>
        <w:autoSpaceDE w:val="0"/>
        <w:autoSpaceDN w:val="0"/>
        <w:adjustRightInd w:val="0"/>
        <w:spacing w:line="360" w:lineRule="auto"/>
        <w:ind w:firstLine="45"/>
        <w:jc w:val="both"/>
        <w:rPr>
          <w:rFonts w:ascii="Arial" w:hAnsi="Arial" w:cs="Arial"/>
        </w:rPr>
      </w:pPr>
    </w:p>
    <w:p w14:paraId="5E35BFC2" w14:textId="097498F4" w:rsidR="0026034B" w:rsidRPr="00265230" w:rsidRDefault="0026034B" w:rsidP="002A6BF9">
      <w:pPr>
        <w:pStyle w:val="PargrafodaLista"/>
        <w:numPr>
          <w:ilvl w:val="0"/>
          <w:numId w:val="29"/>
        </w:numPr>
        <w:tabs>
          <w:tab w:val="left" w:pos="2340"/>
          <w:tab w:val="left" w:pos="4464"/>
        </w:tabs>
        <w:spacing w:line="360" w:lineRule="auto"/>
        <w:jc w:val="both"/>
        <w:rPr>
          <w:rFonts w:ascii="Arial" w:hAnsi="Arial" w:cs="Arial"/>
          <w:b/>
          <w:bCs/>
        </w:rPr>
      </w:pPr>
      <w:r w:rsidRPr="00265230">
        <w:rPr>
          <w:rFonts w:ascii="Arial" w:hAnsi="Arial" w:cs="Arial"/>
          <w:b/>
          <w:bCs/>
        </w:rPr>
        <w:t>MÉTODOS E ESTRATÉGIAS DE SUPRIMENTO</w:t>
      </w:r>
    </w:p>
    <w:p w14:paraId="7487C4A5" w14:textId="77777777" w:rsidR="00104E62" w:rsidRDefault="00104E62" w:rsidP="00104E62">
      <w:pPr>
        <w:autoSpaceDE w:val="0"/>
        <w:autoSpaceDN w:val="0"/>
        <w:adjustRightInd w:val="0"/>
        <w:spacing w:after="240" w:line="360" w:lineRule="auto"/>
        <w:jc w:val="both"/>
      </w:pPr>
      <w:r>
        <w:t>O objeto do presente termo de referência será recebido em remessa única.</w:t>
      </w:r>
    </w:p>
    <w:p w14:paraId="178FE7A1" w14:textId="77777777" w:rsidR="00104E62" w:rsidRDefault="00104E62" w:rsidP="00104E62">
      <w:pPr>
        <w:autoSpaceDE w:val="0"/>
        <w:autoSpaceDN w:val="0"/>
        <w:adjustRightInd w:val="0"/>
        <w:spacing w:after="240" w:line="360" w:lineRule="auto"/>
        <w:jc w:val="both"/>
      </w:pPr>
      <w:r>
        <w:t xml:space="preserve">O não cumprimento dos prazos de entrega do objeto acarretará a anulação do empenho bem como a aplicação das penalidades. </w:t>
      </w:r>
    </w:p>
    <w:p w14:paraId="162A2016" w14:textId="541D6CCD" w:rsidR="0026034B" w:rsidRPr="00265230" w:rsidRDefault="00104E62" w:rsidP="00104E62">
      <w:pPr>
        <w:autoSpaceDE w:val="0"/>
        <w:autoSpaceDN w:val="0"/>
        <w:adjustRightInd w:val="0"/>
        <w:spacing w:after="240" w:line="360" w:lineRule="auto"/>
        <w:jc w:val="both"/>
      </w:pPr>
      <w:r>
        <w:t>A administração rejeitará, no todo ou em parte, o fornecimento executado em desacordo com os termos do processo licitatório de dispensa de licitação e seus anexos, notificando imediatamente a empresa e abrindo prazo para correção do problema, sob pena de ser encaminhado o processo para apuração de responsabilidades e aplicação de sanções.</w:t>
      </w:r>
    </w:p>
    <w:p w14:paraId="2F703C4B" w14:textId="16053691" w:rsidR="0026034B" w:rsidRPr="00265230" w:rsidRDefault="0026034B" w:rsidP="002A6BF9">
      <w:pPr>
        <w:pStyle w:val="PargrafodaLista"/>
        <w:numPr>
          <w:ilvl w:val="0"/>
          <w:numId w:val="29"/>
        </w:numPr>
        <w:tabs>
          <w:tab w:val="left" w:pos="2340"/>
          <w:tab w:val="left" w:pos="4464"/>
        </w:tabs>
        <w:spacing w:line="360" w:lineRule="auto"/>
        <w:jc w:val="both"/>
        <w:rPr>
          <w:rFonts w:ascii="Arial" w:hAnsi="Arial" w:cs="Arial"/>
          <w:b/>
          <w:bCs/>
        </w:rPr>
      </w:pPr>
      <w:r w:rsidRPr="00265230">
        <w:rPr>
          <w:rFonts w:ascii="Arial" w:hAnsi="Arial" w:cs="Arial"/>
          <w:b/>
          <w:bCs/>
        </w:rPr>
        <w:t xml:space="preserve">VALOR ESTIMADO </w:t>
      </w:r>
    </w:p>
    <w:p w14:paraId="4F1D8996" w14:textId="0F7E3368" w:rsidR="00A66204" w:rsidRPr="00E53786" w:rsidRDefault="00107215" w:rsidP="00E53786">
      <w:pPr>
        <w:autoSpaceDE w:val="0"/>
        <w:autoSpaceDN w:val="0"/>
        <w:adjustRightInd w:val="0"/>
        <w:spacing w:after="240" w:line="360" w:lineRule="auto"/>
        <w:jc w:val="both"/>
      </w:pPr>
      <w:r w:rsidRPr="00265230">
        <w:t>Esti</w:t>
      </w:r>
      <w:r w:rsidRPr="00BF4E4F">
        <w:t xml:space="preserve">mado da contratação do objeto é de </w:t>
      </w:r>
      <w:r w:rsidR="003E6793" w:rsidRPr="00BF4E4F">
        <w:t xml:space="preserve">R$ </w:t>
      </w:r>
      <w:r w:rsidR="00BF4E4F" w:rsidRPr="00BF4E4F">
        <w:t>14.300,00</w:t>
      </w:r>
      <w:r w:rsidR="003E6793" w:rsidRPr="00BF4E4F">
        <w:t xml:space="preserve"> </w:t>
      </w:r>
      <w:r w:rsidR="001A4836" w:rsidRPr="00BF4E4F">
        <w:t>(</w:t>
      </w:r>
      <w:r w:rsidR="00BF4E4F" w:rsidRPr="00BF4E4F">
        <w:t>catorze mil e trezentos reais</w:t>
      </w:r>
      <w:r w:rsidR="003E6793" w:rsidRPr="00BF4E4F">
        <w:t>)</w:t>
      </w:r>
      <w:r w:rsidR="002A6BF9" w:rsidRPr="00BF4E4F">
        <w:t>,</w:t>
      </w:r>
      <w:r w:rsidRPr="00BF4E4F">
        <w:t xml:space="preserve"> inferior, portanto, ao limite traçado pelo legislador para a</w:t>
      </w:r>
      <w:r w:rsidRPr="00265230">
        <w:t xml:space="preserve"> vantajosidade do custo-benefício da realização de licitação, razão pela qual, estando autorizado para tal, realizar-se-á a contratação direta pela dispensa de licitação prevista no art. 75, inciso </w:t>
      </w:r>
      <w:r w:rsidR="00785EED">
        <w:t>I</w:t>
      </w:r>
      <w:r w:rsidRPr="00265230">
        <w:t>I, da Lei Federal n. 14.133/2021</w:t>
      </w:r>
      <w:r w:rsidR="0028796F" w:rsidRPr="00265230">
        <w:t>.</w:t>
      </w:r>
    </w:p>
    <w:p w14:paraId="6F09951D" w14:textId="7135C825" w:rsidR="00A66204" w:rsidRPr="00265230" w:rsidRDefault="00A66204" w:rsidP="002A6BF9">
      <w:pPr>
        <w:pStyle w:val="PargrafodaLista"/>
        <w:numPr>
          <w:ilvl w:val="0"/>
          <w:numId w:val="29"/>
        </w:numPr>
        <w:tabs>
          <w:tab w:val="left" w:pos="2340"/>
          <w:tab w:val="left" w:pos="4464"/>
        </w:tabs>
        <w:spacing w:line="360" w:lineRule="auto"/>
        <w:jc w:val="both"/>
        <w:rPr>
          <w:rFonts w:ascii="Arial" w:hAnsi="Arial" w:cs="Arial"/>
          <w:b/>
          <w:bCs/>
        </w:rPr>
      </w:pPr>
      <w:r w:rsidRPr="00265230">
        <w:rPr>
          <w:rFonts w:ascii="Arial" w:hAnsi="Arial" w:cs="Arial"/>
          <w:b/>
          <w:bCs/>
        </w:rPr>
        <w:t>MODELO DE GESTÃO DO CONTRATO</w:t>
      </w:r>
    </w:p>
    <w:p w14:paraId="6E7D8B4E" w14:textId="77777777" w:rsidR="00A66204" w:rsidRPr="00265230" w:rsidRDefault="00A66204" w:rsidP="00E53786">
      <w:pPr>
        <w:autoSpaceDE w:val="0"/>
        <w:autoSpaceDN w:val="0"/>
        <w:adjustRightInd w:val="0"/>
        <w:spacing w:after="240" w:line="360" w:lineRule="auto"/>
        <w:jc w:val="both"/>
      </w:pPr>
      <w:r w:rsidRPr="00265230">
        <w:t xml:space="preserve">Em conformidade com o art. 117 da Lei Federal n. 14.133/2021, deverá ser designado fiscal de contrato e representante da administração pública para acompanhamento e fiscalização da execução dos contratos celebrados, conforme requisitos estabelecidos no art. 7º do referido diploma legal. </w:t>
      </w:r>
    </w:p>
    <w:p w14:paraId="61562C77" w14:textId="77777777" w:rsidR="00A66204" w:rsidRPr="00E53786" w:rsidRDefault="00A66204" w:rsidP="00E53786">
      <w:pPr>
        <w:autoSpaceDE w:val="0"/>
        <w:autoSpaceDN w:val="0"/>
        <w:adjustRightInd w:val="0"/>
        <w:spacing w:after="240" w:line="360" w:lineRule="auto"/>
        <w:jc w:val="both"/>
      </w:pPr>
      <w:r w:rsidRPr="00E53786">
        <w:t>Nos termos do art. 140 da Lei Federal n. 14.133/2021, o objeto do contrato será recebido</w:t>
      </w:r>
      <w:bookmarkStart w:id="2" w:name="art140i"/>
      <w:bookmarkEnd w:id="2"/>
      <w:r w:rsidRPr="00E53786">
        <w:t>, provisoriamente, pelo responsável por seu acompanhamento e fiscalização, verificando se a publicação cumpriu as exigências de caráter técnico descritas neste Termo de Referência; e</w:t>
      </w:r>
      <w:bookmarkStart w:id="3" w:name="art140ib"/>
      <w:bookmarkEnd w:id="3"/>
      <w:r w:rsidRPr="00E53786">
        <w:t>, definitivamente, por servidor ou comissão designada pela autoridade competente, mediante verificação de atendimento das exigências contratuais.</w:t>
      </w:r>
    </w:p>
    <w:p w14:paraId="41F4B842" w14:textId="2EB83939" w:rsidR="00A66204" w:rsidRPr="00265230" w:rsidRDefault="00A66204" w:rsidP="00E53786">
      <w:pPr>
        <w:autoSpaceDE w:val="0"/>
        <w:autoSpaceDN w:val="0"/>
        <w:adjustRightInd w:val="0"/>
        <w:spacing w:after="240" w:line="360" w:lineRule="auto"/>
        <w:jc w:val="both"/>
      </w:pPr>
      <w:r w:rsidRPr="00265230">
        <w:t xml:space="preserve">Durante a execução do objeto do contrato fica reservado ao </w:t>
      </w:r>
      <w:r w:rsidR="00F318C9" w:rsidRPr="00265230">
        <w:t>consórcio</w:t>
      </w:r>
      <w:r w:rsidRPr="00265230">
        <w:t xml:space="preserve"> autonomia para dirimir e decidir todos e quaisquer casos ou dúvidas que venham a surgir e/ou fugir da rotina, ou que não tenham sido previstos no Termo de Referência, ou, ainda, nas disposições do Contrato.</w:t>
      </w:r>
    </w:p>
    <w:p w14:paraId="644D8C73" w14:textId="77777777" w:rsidR="00A66204" w:rsidRPr="00265230" w:rsidRDefault="00A66204" w:rsidP="00E53786">
      <w:pPr>
        <w:autoSpaceDE w:val="0"/>
        <w:autoSpaceDN w:val="0"/>
        <w:adjustRightInd w:val="0"/>
        <w:spacing w:after="240" w:line="360" w:lineRule="auto"/>
        <w:jc w:val="both"/>
      </w:pPr>
      <w:r w:rsidRPr="00265230">
        <w:lastRenderedPageBreak/>
        <w:t xml:space="preserve">O consórcio efetuará a fiscalização e o acompanhamento da execução do objeto do contrato, podendo, a qualquer tempo, exigir que forneça os elementos necessários ao esclarecimento de quaisquer dúvidas relativas ao contrato. A fiscalização efetuada não exclui nem reduz as responsabilidades da contratada perante o contratante e/ou terceiros. </w:t>
      </w:r>
    </w:p>
    <w:p w14:paraId="0E11F4C4" w14:textId="77777777" w:rsidR="00A66204" w:rsidRPr="00265230" w:rsidRDefault="00A66204" w:rsidP="00E53786">
      <w:pPr>
        <w:autoSpaceDE w:val="0"/>
        <w:autoSpaceDN w:val="0"/>
        <w:adjustRightInd w:val="0"/>
        <w:spacing w:after="240" w:line="360" w:lineRule="auto"/>
        <w:jc w:val="both"/>
      </w:pPr>
      <w:r w:rsidRPr="00265230">
        <w:t>A contratada deverá acatar a fiscalização do consórcio quanto ao acompanhamento do cumprimento das obrigações pactuadas, prestando-lhe todos os esclarecimentos solicitados, bem como atendendo a todas às solicitações de informações.</w:t>
      </w:r>
    </w:p>
    <w:p w14:paraId="61E7C6A3" w14:textId="77777777" w:rsidR="00A66204" w:rsidRPr="00265230" w:rsidRDefault="00A66204" w:rsidP="00E53786">
      <w:pPr>
        <w:autoSpaceDE w:val="0"/>
        <w:autoSpaceDN w:val="0"/>
        <w:adjustRightInd w:val="0"/>
        <w:spacing w:after="240" w:line="360" w:lineRule="auto"/>
        <w:jc w:val="both"/>
      </w:pPr>
      <w:r w:rsidRPr="00265230">
        <w:t>Qualquer comunicação ou notificação do contratante à contratada deverá merecer resposta conclusiva e por escrito no prazo máximo de 3 (três) dias úteis, contados do seu recebimento, submetendo-se, a contratada, às sanções e penalidades cabíveis, caso tal determinação não seja cumprida.</w:t>
      </w:r>
    </w:p>
    <w:p w14:paraId="13BC4757" w14:textId="77777777" w:rsidR="00A66204" w:rsidRPr="00265230" w:rsidRDefault="00A66204" w:rsidP="00E53786">
      <w:pPr>
        <w:autoSpaceDE w:val="0"/>
        <w:autoSpaceDN w:val="0"/>
        <w:adjustRightInd w:val="0"/>
        <w:spacing w:after="240" w:line="360" w:lineRule="auto"/>
        <w:jc w:val="both"/>
      </w:pPr>
      <w:r w:rsidRPr="00265230">
        <w:t>O instrumento de contrato poderá ser substituído por outro instrumento hábil, como carta contrato, nota de empenho de despesa, autorização de compra ou ordem de execução de serviço, nos casos de (I) dispensa de licitação em razão de valor, bem como, em (II) compras com entrega imediata e integral dos bens adquiridos e dos quais não resultem obrigações futuras, inclusive quanto a assistência técnica, independentemente de seu valor, nos termos do art. 95 da Lei 14.133/2021.</w:t>
      </w:r>
    </w:p>
    <w:p w14:paraId="504401A1" w14:textId="1138BDB2" w:rsidR="0026034B" w:rsidRPr="000E68DC" w:rsidRDefault="0026034B" w:rsidP="003E6793">
      <w:pPr>
        <w:pStyle w:val="PargrafodaLista"/>
        <w:numPr>
          <w:ilvl w:val="0"/>
          <w:numId w:val="29"/>
        </w:numPr>
        <w:spacing w:line="360" w:lineRule="auto"/>
        <w:rPr>
          <w:rFonts w:ascii="Arial" w:hAnsi="Arial" w:cs="Arial"/>
          <w:b/>
        </w:rPr>
      </w:pPr>
      <w:r w:rsidRPr="000E68DC">
        <w:rPr>
          <w:rFonts w:ascii="Arial" w:hAnsi="Arial" w:cs="Arial"/>
          <w:b/>
        </w:rPr>
        <w:t>OBRIGAÇÕES DA CONTRATADA</w:t>
      </w:r>
    </w:p>
    <w:p w14:paraId="5BFF663D" w14:textId="77777777" w:rsidR="0026034B" w:rsidRPr="00265230" w:rsidRDefault="0026034B" w:rsidP="00E53786">
      <w:pPr>
        <w:autoSpaceDE w:val="0"/>
        <w:autoSpaceDN w:val="0"/>
        <w:adjustRightInd w:val="0"/>
        <w:spacing w:after="240" w:line="360" w:lineRule="auto"/>
        <w:jc w:val="both"/>
      </w:pPr>
      <w:r w:rsidRPr="00265230">
        <w:t>A Contratada obriga-se a:</w:t>
      </w:r>
    </w:p>
    <w:p w14:paraId="3B97AD35" w14:textId="77777777" w:rsidR="0028796F" w:rsidRPr="00265230" w:rsidRDefault="0028796F" w:rsidP="00E53786">
      <w:pPr>
        <w:autoSpaceDE w:val="0"/>
        <w:autoSpaceDN w:val="0"/>
        <w:adjustRightInd w:val="0"/>
        <w:spacing w:after="240" w:line="360" w:lineRule="auto"/>
        <w:jc w:val="both"/>
      </w:pPr>
      <w:r w:rsidRPr="00265230">
        <w:t>Efetuar a entrega dos bens em perfeitas condições, no prazo e local indicados pela Administração, em estrita observância das especificações da proposta, acompanhado da respectiva nota fiscal constando detalhadamente as indicações da marca, fabricante, modelo, tipo, procedência e prazo de garantia;</w:t>
      </w:r>
    </w:p>
    <w:p w14:paraId="396AAC1D" w14:textId="24CF3101" w:rsidR="0028796F" w:rsidRPr="00265230" w:rsidRDefault="0026034B" w:rsidP="00E53786">
      <w:pPr>
        <w:autoSpaceDE w:val="0"/>
        <w:autoSpaceDN w:val="0"/>
        <w:adjustRightInd w:val="0"/>
        <w:spacing w:after="240" w:line="360" w:lineRule="auto"/>
        <w:jc w:val="both"/>
      </w:pPr>
      <w:r w:rsidRPr="00265230">
        <w:t>Atender prontamente a quaisquer exigências da Administração, inerentes ao objeto da presente licitação;</w:t>
      </w:r>
    </w:p>
    <w:p w14:paraId="6D0B8796" w14:textId="77777777" w:rsidR="0028796F" w:rsidRPr="00265230" w:rsidRDefault="0026034B" w:rsidP="00E53786">
      <w:pPr>
        <w:autoSpaceDE w:val="0"/>
        <w:autoSpaceDN w:val="0"/>
        <w:adjustRightInd w:val="0"/>
        <w:spacing w:after="240" w:line="360" w:lineRule="auto"/>
        <w:jc w:val="both"/>
      </w:pPr>
      <w:r w:rsidRPr="00265230">
        <w:t>Comunicar à Administração, no prazo máximo de 24 (vinte e quatro) horas que antecede a data da entrega, os motivos que impossibilitem o cumprimento do prazo previsto, com a devida comprovação;</w:t>
      </w:r>
    </w:p>
    <w:p w14:paraId="4B051C60" w14:textId="77777777" w:rsidR="0028796F" w:rsidRPr="00265230" w:rsidRDefault="0026034B" w:rsidP="00E53786">
      <w:pPr>
        <w:autoSpaceDE w:val="0"/>
        <w:autoSpaceDN w:val="0"/>
        <w:adjustRightInd w:val="0"/>
        <w:spacing w:after="240" w:line="360" w:lineRule="auto"/>
        <w:jc w:val="both"/>
      </w:pPr>
      <w:r w:rsidRPr="00265230">
        <w:lastRenderedPageBreak/>
        <w:t>Manter, durante toda a execução do contrato, em compatibilidade com as obrigações assumidas, todas as condições de habilitação e qualificação exigidas na licitação, conforme estabelece o inciso XVI do art. 92 da Lei Federal n. 14.133</w:t>
      </w:r>
      <w:r w:rsidR="004F20CE" w:rsidRPr="00265230">
        <w:t>/</w:t>
      </w:r>
      <w:r w:rsidRPr="00265230">
        <w:t>2021.</w:t>
      </w:r>
    </w:p>
    <w:p w14:paraId="1A7C2E30" w14:textId="110A1AF9" w:rsidR="0026034B" w:rsidRDefault="0026034B" w:rsidP="00E53786">
      <w:pPr>
        <w:autoSpaceDE w:val="0"/>
        <w:autoSpaceDN w:val="0"/>
        <w:adjustRightInd w:val="0"/>
        <w:spacing w:after="240" w:line="360" w:lineRule="auto"/>
        <w:jc w:val="both"/>
      </w:pPr>
      <w:r w:rsidRPr="00265230">
        <w:t>Responsabilizar-se pelas despesas dos tributos, encargos trabalhistas, previdenciários, fiscais, comerciais, taxas, fretes, seguros, deslocamento de pessoal, prestação de garantia e quaisquer outras que incidam ou venham a incidir na execução do contrato.</w:t>
      </w:r>
    </w:p>
    <w:p w14:paraId="33BA3205" w14:textId="416C7466" w:rsidR="0026034B" w:rsidRPr="00265230" w:rsidRDefault="0026034B" w:rsidP="003E6793">
      <w:pPr>
        <w:pStyle w:val="PargrafodaLista"/>
        <w:numPr>
          <w:ilvl w:val="0"/>
          <w:numId w:val="29"/>
        </w:numPr>
        <w:spacing w:line="360" w:lineRule="auto"/>
        <w:rPr>
          <w:rFonts w:ascii="Arial" w:hAnsi="Arial" w:cs="Arial"/>
          <w:b/>
        </w:rPr>
      </w:pPr>
      <w:r w:rsidRPr="00265230">
        <w:rPr>
          <w:rFonts w:ascii="Arial" w:hAnsi="Arial" w:cs="Arial"/>
          <w:b/>
        </w:rPr>
        <w:t>OBRIGAÇÕES DA CONTRATANTE</w:t>
      </w:r>
    </w:p>
    <w:p w14:paraId="6037A265" w14:textId="77777777" w:rsidR="0028796F" w:rsidRPr="00265230" w:rsidRDefault="0026034B" w:rsidP="00E53786">
      <w:pPr>
        <w:autoSpaceDE w:val="0"/>
        <w:autoSpaceDN w:val="0"/>
        <w:adjustRightInd w:val="0"/>
        <w:spacing w:after="240" w:line="360" w:lineRule="auto"/>
        <w:jc w:val="both"/>
      </w:pPr>
      <w:r w:rsidRPr="00265230">
        <w:t>A Contratante obriga-se a:</w:t>
      </w:r>
    </w:p>
    <w:p w14:paraId="3CB49AA8" w14:textId="779DF5DF" w:rsidR="0028796F" w:rsidRPr="00265230" w:rsidRDefault="0028796F" w:rsidP="00E53786">
      <w:pPr>
        <w:autoSpaceDE w:val="0"/>
        <w:autoSpaceDN w:val="0"/>
        <w:adjustRightInd w:val="0"/>
        <w:spacing w:after="240" w:line="360" w:lineRule="auto"/>
        <w:jc w:val="both"/>
      </w:pPr>
      <w:r w:rsidRPr="00265230">
        <w:t>Receber provisoriamente o material, disponibilizando local, data e horário;</w:t>
      </w:r>
    </w:p>
    <w:p w14:paraId="78384CFF" w14:textId="77777777" w:rsidR="0028796F" w:rsidRPr="00265230" w:rsidRDefault="0026034B" w:rsidP="00E53786">
      <w:pPr>
        <w:autoSpaceDE w:val="0"/>
        <w:autoSpaceDN w:val="0"/>
        <w:adjustRightInd w:val="0"/>
        <w:spacing w:after="240" w:line="360" w:lineRule="auto"/>
        <w:jc w:val="both"/>
      </w:pPr>
      <w:r w:rsidRPr="00265230">
        <w:t xml:space="preserve">Verificar minuciosamente, no prazo fixado, a conformidade dos bens recebidos provisoriamente com as especificações constantes </w:t>
      </w:r>
      <w:r w:rsidR="00B9035B" w:rsidRPr="00265230">
        <w:t>no processo licitatório</w:t>
      </w:r>
      <w:r w:rsidRPr="00265230">
        <w:t xml:space="preserve"> e da proposta, para fins de aceitação e recebimento definitivos; </w:t>
      </w:r>
    </w:p>
    <w:p w14:paraId="387D4290" w14:textId="60354F83" w:rsidR="0026034B" w:rsidRPr="00265230" w:rsidRDefault="0026034B" w:rsidP="00E53786">
      <w:pPr>
        <w:autoSpaceDE w:val="0"/>
        <w:autoSpaceDN w:val="0"/>
        <w:adjustRightInd w:val="0"/>
        <w:spacing w:after="240" w:line="360" w:lineRule="auto"/>
        <w:jc w:val="both"/>
      </w:pPr>
      <w:r w:rsidRPr="00265230">
        <w:t>Efetuar o pagamento no prazo previsto.</w:t>
      </w:r>
    </w:p>
    <w:p w14:paraId="386F727E" w14:textId="22EECEDF" w:rsidR="0026034B" w:rsidRPr="00265230" w:rsidRDefault="0026034B" w:rsidP="00E53786">
      <w:pPr>
        <w:autoSpaceDE w:val="0"/>
        <w:autoSpaceDN w:val="0"/>
        <w:adjustRightInd w:val="0"/>
        <w:spacing w:after="240" w:line="360" w:lineRule="auto"/>
        <w:jc w:val="both"/>
      </w:pPr>
      <w:r w:rsidRPr="00265230">
        <w:t>Acompanhar e fiscalizar o cumprimento das obrigações da Contratada, através de servidor especialmente designado, observando o seguinte:</w:t>
      </w:r>
    </w:p>
    <w:p w14:paraId="26881FFF" w14:textId="77777777" w:rsidR="0026034B" w:rsidRPr="00265230" w:rsidRDefault="0026034B" w:rsidP="006E77F3">
      <w:pPr>
        <w:pStyle w:val="PargrafodaLista"/>
        <w:numPr>
          <w:ilvl w:val="0"/>
          <w:numId w:val="6"/>
        </w:numPr>
        <w:tabs>
          <w:tab w:val="left" w:pos="2340"/>
          <w:tab w:val="left" w:pos="4464"/>
        </w:tabs>
        <w:spacing w:line="360" w:lineRule="auto"/>
        <w:jc w:val="both"/>
        <w:rPr>
          <w:rFonts w:ascii="Arial" w:hAnsi="Arial" w:cs="Arial"/>
        </w:rPr>
      </w:pPr>
      <w:r w:rsidRPr="00265230">
        <w:rPr>
          <w:rFonts w:ascii="Arial" w:hAnsi="Arial" w:cs="Arial"/>
        </w:rPr>
        <w:t xml:space="preserve">A fiscalização da contratação será exercida por um representante da Administração, ao qual competirá dirimir as dúvidas que surgirem no curso da execução do contrato, e de tudo dará ciência à Administração. </w:t>
      </w:r>
    </w:p>
    <w:p w14:paraId="6533FAC8" w14:textId="630A2CF6" w:rsidR="00426424" w:rsidRPr="00265230" w:rsidRDefault="0026034B" w:rsidP="00426424">
      <w:pPr>
        <w:pStyle w:val="PargrafodaLista"/>
        <w:numPr>
          <w:ilvl w:val="0"/>
          <w:numId w:val="6"/>
        </w:numPr>
        <w:tabs>
          <w:tab w:val="left" w:pos="2340"/>
          <w:tab w:val="left" w:pos="4464"/>
        </w:tabs>
        <w:spacing w:line="360" w:lineRule="auto"/>
        <w:jc w:val="both"/>
        <w:rPr>
          <w:rFonts w:ascii="Arial" w:hAnsi="Arial" w:cs="Arial"/>
        </w:rPr>
      </w:pPr>
      <w:r w:rsidRPr="00265230">
        <w:rPr>
          <w:rFonts w:ascii="Arial" w:hAnsi="Arial" w:cs="Arial"/>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w:t>
      </w:r>
    </w:p>
    <w:p w14:paraId="186BC6B1" w14:textId="77777777" w:rsidR="001F2D97" w:rsidRPr="00265230" w:rsidRDefault="001F2D97" w:rsidP="001F2D97">
      <w:pPr>
        <w:pStyle w:val="PargrafodaLista"/>
        <w:tabs>
          <w:tab w:val="left" w:pos="2340"/>
          <w:tab w:val="left" w:pos="4464"/>
        </w:tabs>
        <w:spacing w:line="360" w:lineRule="auto"/>
        <w:ind w:left="1429"/>
        <w:jc w:val="both"/>
        <w:rPr>
          <w:rFonts w:ascii="Arial" w:hAnsi="Arial" w:cs="Arial"/>
          <w:sz w:val="16"/>
          <w:szCs w:val="16"/>
        </w:rPr>
      </w:pPr>
    </w:p>
    <w:p w14:paraId="3A5B14F7" w14:textId="09964725" w:rsidR="00426424" w:rsidRPr="00265230" w:rsidRDefault="00426424" w:rsidP="002A6BF9">
      <w:pPr>
        <w:pStyle w:val="PargrafodaLista"/>
        <w:numPr>
          <w:ilvl w:val="0"/>
          <w:numId w:val="29"/>
        </w:numPr>
        <w:spacing w:line="360" w:lineRule="auto"/>
        <w:rPr>
          <w:rFonts w:ascii="Arial" w:hAnsi="Arial" w:cs="Arial"/>
          <w:b/>
        </w:rPr>
      </w:pPr>
      <w:r w:rsidRPr="00265230">
        <w:rPr>
          <w:rFonts w:ascii="Arial" w:hAnsi="Arial" w:cs="Arial"/>
          <w:b/>
        </w:rPr>
        <w:t>CRITÉRIOS DE PAGAMENTO</w:t>
      </w:r>
    </w:p>
    <w:p w14:paraId="5DA83778" w14:textId="77777777" w:rsidR="00426424" w:rsidRPr="00E53786" w:rsidRDefault="00426424" w:rsidP="00E53786">
      <w:pPr>
        <w:autoSpaceDE w:val="0"/>
        <w:autoSpaceDN w:val="0"/>
        <w:adjustRightInd w:val="0"/>
        <w:spacing w:after="240" w:line="360" w:lineRule="auto"/>
        <w:jc w:val="both"/>
      </w:pPr>
      <w:r w:rsidRPr="00E53786">
        <w:t xml:space="preserve">O pagamento do objeto da presente contratação direta, deverá ser feito pela Administração em favor do contratado mediante boleto ou transferência bancária (TED, DOC, depósito ou PIX) em conta corrente de titularidade do contratado, no prazo de até último dia útil de cada mês após a data de recebimento definitivo do objeto, acompanhado da respectiva Nota Fiscal Eletrônica e arquivo XML. </w:t>
      </w:r>
    </w:p>
    <w:p w14:paraId="1964E112" w14:textId="77777777" w:rsidR="00426424" w:rsidRPr="00E53786" w:rsidRDefault="00426424" w:rsidP="00E53786">
      <w:pPr>
        <w:autoSpaceDE w:val="0"/>
        <w:autoSpaceDN w:val="0"/>
        <w:adjustRightInd w:val="0"/>
        <w:spacing w:after="240" w:line="360" w:lineRule="auto"/>
        <w:jc w:val="both"/>
      </w:pPr>
      <w:r w:rsidRPr="00E53786">
        <w:lastRenderedPageBreak/>
        <w:t>O número do CNPJ - Cadastro Nacional de Pessoa Jurídica - constante das notas fiscais deverá ser aquele fornecido na habilitação, exceto no caso de participação de empresas em consórcio.</w:t>
      </w:r>
    </w:p>
    <w:p w14:paraId="4E1B2749" w14:textId="77777777" w:rsidR="00426424" w:rsidRPr="00E53786" w:rsidRDefault="00426424" w:rsidP="00E53786">
      <w:pPr>
        <w:autoSpaceDE w:val="0"/>
        <w:autoSpaceDN w:val="0"/>
        <w:adjustRightInd w:val="0"/>
        <w:spacing w:after="240" w:line="360" w:lineRule="auto"/>
        <w:jc w:val="both"/>
      </w:pPr>
      <w:r w:rsidRPr="00E53786">
        <w:t>Nenhum pagamento será efetuado ao contratado enquanto pendente de liquidação qualquer obrigação financeira ou técnica que lhe for imposta, em virtude de penalidade ou inadimplência, sem que isso gere direito ao pleito do reajustamento de preços ou correção monetária.</w:t>
      </w:r>
    </w:p>
    <w:p w14:paraId="6DE6626E" w14:textId="22CF1651" w:rsidR="00426424" w:rsidRPr="00265230" w:rsidRDefault="00426424" w:rsidP="0026034B"/>
    <w:p w14:paraId="7D97DCD7" w14:textId="0737B67E" w:rsidR="006F519F" w:rsidRDefault="006F519F" w:rsidP="0026034B"/>
    <w:p w14:paraId="7F60A5E9" w14:textId="39C9C6F1" w:rsidR="003E6793" w:rsidRDefault="003E6793" w:rsidP="0026034B"/>
    <w:p w14:paraId="0CE1E997" w14:textId="77777777" w:rsidR="003E6793" w:rsidRPr="00265230" w:rsidRDefault="003E6793" w:rsidP="0026034B"/>
    <w:p w14:paraId="3CC9593E" w14:textId="0E824276" w:rsidR="0026034B" w:rsidRPr="00265230" w:rsidRDefault="00B10B89" w:rsidP="00B10B89">
      <w:pPr>
        <w:jc w:val="right"/>
      </w:pPr>
      <w:r w:rsidRPr="00265230">
        <w:t xml:space="preserve">São Lourenço do Oeste – SC, </w:t>
      </w:r>
      <w:r w:rsidR="00BF4E4F">
        <w:t xml:space="preserve">14 de </w:t>
      </w:r>
      <w:proofErr w:type="gramStart"/>
      <w:r w:rsidR="00BF4E4F">
        <w:t>Fevereiro</w:t>
      </w:r>
      <w:proofErr w:type="gramEnd"/>
      <w:r w:rsidR="00BF51A2" w:rsidRPr="00265230">
        <w:t xml:space="preserve"> </w:t>
      </w:r>
      <w:r w:rsidRPr="00265230">
        <w:t>de 202</w:t>
      </w:r>
      <w:r w:rsidR="00E53786">
        <w:t>5.</w:t>
      </w:r>
    </w:p>
    <w:p w14:paraId="137162E3" w14:textId="77777777" w:rsidR="0026034B" w:rsidRPr="001F2D97" w:rsidRDefault="0026034B" w:rsidP="0026034B">
      <w:pPr>
        <w:rPr>
          <w:rFonts w:ascii="Arial Narrow" w:hAnsi="Arial Narrow"/>
        </w:rPr>
      </w:pPr>
    </w:p>
    <w:p w14:paraId="42C0EE0F" w14:textId="51CAF7C2" w:rsidR="001F2D97" w:rsidRDefault="001F2D97" w:rsidP="0026034B">
      <w:pPr>
        <w:rPr>
          <w:rFonts w:ascii="Arial Narrow" w:hAnsi="Arial Narrow"/>
        </w:rPr>
      </w:pPr>
    </w:p>
    <w:p w14:paraId="728FA644" w14:textId="77777777" w:rsidR="003E6793" w:rsidRDefault="003E6793" w:rsidP="0026034B">
      <w:pPr>
        <w:rPr>
          <w:rFonts w:ascii="Arial Narrow" w:hAnsi="Arial Narrow"/>
        </w:rPr>
      </w:pPr>
    </w:p>
    <w:p w14:paraId="4307C3F0" w14:textId="2CF9F17C" w:rsidR="006F519F" w:rsidRDefault="006F519F" w:rsidP="0026034B">
      <w:pPr>
        <w:rPr>
          <w:rFonts w:ascii="Arial Narrow" w:hAnsi="Arial Narrow"/>
        </w:rPr>
      </w:pPr>
    </w:p>
    <w:p w14:paraId="0BB1F78B" w14:textId="45724CA3" w:rsidR="003E6793" w:rsidRDefault="003E6793" w:rsidP="0026034B">
      <w:pPr>
        <w:rPr>
          <w:rFonts w:ascii="Arial Narrow" w:hAnsi="Arial Narrow"/>
        </w:rPr>
      </w:pPr>
    </w:p>
    <w:p w14:paraId="4CF2EB72" w14:textId="1E3F5347" w:rsidR="003E6793" w:rsidRDefault="003E6793" w:rsidP="0026034B">
      <w:pPr>
        <w:rPr>
          <w:rFonts w:ascii="Arial Narrow" w:hAnsi="Arial Narrow"/>
        </w:rPr>
      </w:pPr>
    </w:p>
    <w:p w14:paraId="4B188874" w14:textId="77777777" w:rsidR="003E6793" w:rsidRDefault="003E6793" w:rsidP="0026034B">
      <w:pPr>
        <w:rPr>
          <w:rFonts w:ascii="Arial Narrow" w:hAnsi="Arial Narrow"/>
        </w:rPr>
      </w:pPr>
    </w:p>
    <w:p w14:paraId="0EBA19A9" w14:textId="77777777" w:rsidR="006F519F" w:rsidRPr="00E53786" w:rsidRDefault="006F519F" w:rsidP="0026034B"/>
    <w:p w14:paraId="683365CB" w14:textId="77777777" w:rsidR="00E53786" w:rsidRDefault="00E53786" w:rsidP="00E53786">
      <w:pPr>
        <w:jc w:val="center"/>
        <w:rPr>
          <w:b/>
          <w:bCs/>
          <w:sz w:val="20"/>
          <w:szCs w:val="20"/>
        </w:rPr>
        <w:sectPr w:rsidR="00E53786" w:rsidSect="007F32A6">
          <w:headerReference w:type="default" r:id="rId8"/>
          <w:footerReference w:type="default" r:id="rId9"/>
          <w:pgSz w:w="11900" w:h="16820"/>
          <w:pgMar w:top="1701" w:right="1134" w:bottom="1134" w:left="1701" w:header="426" w:footer="442" w:gutter="0"/>
          <w:pgNumType w:start="1"/>
          <w:cols w:space="720"/>
        </w:sectPr>
      </w:pPr>
      <w:bookmarkStart w:id="4" w:name="_Hlk167113179"/>
    </w:p>
    <w:p w14:paraId="028AA491" w14:textId="54B1E8AC" w:rsidR="0072386C" w:rsidRDefault="0026034B" w:rsidP="00E53786">
      <w:pPr>
        <w:rPr>
          <w:sz w:val="20"/>
          <w:szCs w:val="20"/>
        </w:rPr>
      </w:pPr>
      <w:r w:rsidRPr="00E53786">
        <w:rPr>
          <w:b/>
          <w:bCs/>
          <w:sz w:val="20"/>
          <w:szCs w:val="20"/>
        </w:rPr>
        <w:t>______________________________</w:t>
      </w:r>
      <w:r w:rsidR="0072386C" w:rsidRPr="00E53786">
        <w:rPr>
          <w:sz w:val="20"/>
          <w:szCs w:val="20"/>
        </w:rPr>
        <w:t>_</w:t>
      </w:r>
    </w:p>
    <w:p w14:paraId="38E4DC34" w14:textId="4837F643" w:rsidR="00E53786" w:rsidRPr="00E53786" w:rsidRDefault="00E53786" w:rsidP="00E53786">
      <w:pPr>
        <w:jc w:val="center"/>
        <w:rPr>
          <w:sz w:val="20"/>
          <w:szCs w:val="20"/>
        </w:rPr>
      </w:pPr>
      <w:r w:rsidRPr="00E53786">
        <w:rPr>
          <w:sz w:val="20"/>
          <w:szCs w:val="20"/>
        </w:rPr>
        <w:t>________________________________</w:t>
      </w:r>
    </w:p>
    <w:p w14:paraId="045708F7" w14:textId="77777777" w:rsidR="00E53786" w:rsidRPr="00E53786" w:rsidRDefault="00E53786" w:rsidP="00E53786">
      <w:pPr>
        <w:jc w:val="center"/>
        <w:rPr>
          <w:b/>
          <w:noProof/>
        </w:rPr>
        <w:sectPr w:rsidR="00E53786" w:rsidRPr="00E53786" w:rsidSect="00E53786">
          <w:type w:val="continuous"/>
          <w:pgSz w:w="11900" w:h="16820"/>
          <w:pgMar w:top="1843" w:right="1134" w:bottom="1134" w:left="1701" w:header="426" w:footer="442" w:gutter="0"/>
          <w:pgNumType w:start="1"/>
          <w:cols w:num="2" w:space="720"/>
        </w:sectPr>
      </w:pPr>
    </w:p>
    <w:p w14:paraId="00B14CC0" w14:textId="4FCDE9D8" w:rsidR="00E53786" w:rsidRPr="00E53786" w:rsidRDefault="0072386C" w:rsidP="00E53786">
      <w:pPr>
        <w:jc w:val="center"/>
        <w:rPr>
          <w:b/>
          <w:noProof/>
        </w:rPr>
      </w:pPr>
      <w:r w:rsidRPr="00E53786">
        <w:rPr>
          <w:b/>
          <w:noProof/>
        </w:rPr>
        <w:t>Carolina Mazzuco Borges</w:t>
      </w:r>
    </w:p>
    <w:p w14:paraId="4603DA56" w14:textId="2990D511" w:rsidR="0072386C" w:rsidRPr="00E53786" w:rsidRDefault="00E53786" w:rsidP="00E53786">
      <w:pPr>
        <w:jc w:val="center"/>
        <w:rPr>
          <w:b/>
          <w:noProof/>
        </w:rPr>
      </w:pPr>
      <w:r w:rsidRPr="00E53786">
        <w:rPr>
          <w:noProof/>
        </w:rPr>
        <w:t>Agente Administrativo</w:t>
      </w:r>
    </w:p>
    <w:p w14:paraId="1CDBEF02" w14:textId="32A522EE" w:rsidR="0072386C" w:rsidRPr="00E53786" w:rsidRDefault="00E53786" w:rsidP="00E53786">
      <w:pPr>
        <w:jc w:val="center"/>
        <w:rPr>
          <w:noProof/>
        </w:rPr>
      </w:pPr>
      <w:r w:rsidRPr="00E53786">
        <w:rPr>
          <w:b/>
          <w:noProof/>
        </w:rPr>
        <w:t xml:space="preserve">Valdelirio Locatelli da Cruz               </w:t>
      </w:r>
      <w:r w:rsidRPr="00E53786">
        <w:rPr>
          <w:noProof/>
        </w:rPr>
        <w:t>Presidente do CIMAM</w:t>
      </w:r>
    </w:p>
    <w:p w14:paraId="50A5BFF7" w14:textId="22584B98" w:rsidR="006F519F" w:rsidRDefault="006F519F" w:rsidP="00E53786">
      <w:pPr>
        <w:jc w:val="center"/>
        <w:rPr>
          <w:rFonts w:ascii="Arial Narrow" w:hAnsi="Arial Narrow" w:cstheme="minorHAnsi"/>
          <w:noProof/>
          <w:sz w:val="20"/>
          <w:szCs w:val="20"/>
        </w:rPr>
      </w:pPr>
    </w:p>
    <w:p w14:paraId="007FAF6D" w14:textId="77777777" w:rsidR="00E53786" w:rsidRDefault="00E53786" w:rsidP="006F519F">
      <w:pPr>
        <w:rPr>
          <w:rFonts w:ascii="Arial Narrow" w:hAnsi="Arial Narrow" w:cstheme="minorHAnsi"/>
          <w:noProof/>
          <w:sz w:val="20"/>
          <w:szCs w:val="20"/>
        </w:rPr>
        <w:sectPr w:rsidR="00E53786" w:rsidSect="00E53786">
          <w:type w:val="continuous"/>
          <w:pgSz w:w="11900" w:h="16820"/>
          <w:pgMar w:top="81" w:right="1137" w:bottom="336" w:left="986" w:header="397" w:footer="444" w:gutter="0"/>
          <w:pgNumType w:start="1"/>
          <w:cols w:num="2" w:space="720"/>
        </w:sectPr>
      </w:pPr>
    </w:p>
    <w:p w14:paraId="3058DBB7" w14:textId="19FFAC3F" w:rsidR="006F519F" w:rsidRDefault="006F519F" w:rsidP="006F519F">
      <w:pPr>
        <w:rPr>
          <w:rFonts w:ascii="Arial Narrow" w:hAnsi="Arial Narrow" w:cstheme="minorHAnsi"/>
          <w:noProof/>
          <w:sz w:val="20"/>
          <w:szCs w:val="20"/>
        </w:rPr>
      </w:pPr>
    </w:p>
    <w:p w14:paraId="41C1B7A9" w14:textId="77777777" w:rsidR="003E6793" w:rsidRDefault="003E6793" w:rsidP="006F519F">
      <w:pPr>
        <w:rPr>
          <w:rFonts w:ascii="Arial Narrow" w:hAnsi="Arial Narrow" w:cstheme="minorHAnsi"/>
          <w:noProof/>
          <w:sz w:val="20"/>
          <w:szCs w:val="20"/>
        </w:rPr>
      </w:pPr>
    </w:p>
    <w:p w14:paraId="18A9F2D7" w14:textId="77777777" w:rsidR="003C1A7C" w:rsidRPr="006F519F" w:rsidRDefault="003C1A7C" w:rsidP="006F519F">
      <w:pPr>
        <w:rPr>
          <w:rFonts w:ascii="Arial Narrow" w:hAnsi="Arial Narrow" w:cstheme="minorHAnsi"/>
          <w:noProof/>
          <w:sz w:val="20"/>
          <w:szCs w:val="20"/>
        </w:rPr>
      </w:pPr>
    </w:p>
    <w:bookmarkEnd w:id="4"/>
    <w:p w14:paraId="5706387F" w14:textId="77777777" w:rsidR="0026034B" w:rsidRPr="006F519F" w:rsidRDefault="0026034B" w:rsidP="0026034B">
      <w:pPr>
        <w:jc w:val="center"/>
        <w:rPr>
          <w:rFonts w:ascii="Arial Narrow" w:hAnsi="Arial Narrow"/>
        </w:rPr>
      </w:pPr>
      <w:r w:rsidRPr="006F519F">
        <w:rPr>
          <w:rFonts w:ascii="Arial Narrow" w:hAnsi="Arial Narrow"/>
        </w:rPr>
        <w:t>APROVO O PRESENTE TERMO DE REFERÊNCIA</w:t>
      </w:r>
    </w:p>
    <w:p w14:paraId="24B2322F" w14:textId="15A547A4" w:rsidR="0026034B" w:rsidRDefault="0026034B" w:rsidP="0026034B">
      <w:pPr>
        <w:jc w:val="center"/>
        <w:rPr>
          <w:rFonts w:ascii="Arial Narrow" w:hAnsi="Arial Narrow"/>
        </w:rPr>
      </w:pPr>
      <w:r w:rsidRPr="006F519F">
        <w:rPr>
          <w:rFonts w:ascii="Arial Narrow" w:hAnsi="Arial Narrow"/>
        </w:rPr>
        <w:t>E AUTORIZO A REALIZAÇÃO DA LICITAÇÃO.</w:t>
      </w:r>
    </w:p>
    <w:p w14:paraId="7B37B2B0" w14:textId="77777777" w:rsidR="006F519F" w:rsidRPr="006F519F" w:rsidRDefault="006F519F" w:rsidP="0026034B">
      <w:pPr>
        <w:jc w:val="center"/>
        <w:rPr>
          <w:rFonts w:ascii="Arial Narrow" w:hAnsi="Arial Narrow"/>
        </w:rPr>
      </w:pPr>
    </w:p>
    <w:p w14:paraId="4D7BAEEC" w14:textId="77777777" w:rsidR="00AE6BC2" w:rsidRPr="000C1C9D" w:rsidRDefault="00AE6BC2" w:rsidP="00AE6BC2">
      <w:pPr>
        <w:jc w:val="center"/>
        <w:rPr>
          <w:rFonts w:ascii="Arial Narrow" w:hAnsi="Arial Narrow" w:cstheme="minorHAnsi"/>
          <w:sz w:val="16"/>
          <w:szCs w:val="16"/>
        </w:rPr>
      </w:pPr>
      <w:r w:rsidRPr="001F2D97">
        <w:rPr>
          <w:rFonts w:ascii="Arial Narrow" w:hAnsi="Arial Narrow" w:cstheme="minorHAnsi"/>
          <w:sz w:val="16"/>
          <w:szCs w:val="16"/>
        </w:rPr>
        <w:t>Documento original eletrônico assinado digitalmente nos termos do Artigo 10 da Medida Provisória nº 2.200-2/2001 e Lei Federal nº 14.063/2020.</w:t>
      </w:r>
    </w:p>
    <w:sectPr w:rsidR="00AE6BC2" w:rsidRPr="000C1C9D" w:rsidSect="00E53786">
      <w:type w:val="continuous"/>
      <w:pgSz w:w="11900" w:h="16820"/>
      <w:pgMar w:top="81" w:right="1137" w:bottom="336" w:left="986" w:header="397" w:footer="4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6382" w14:textId="77777777" w:rsidR="00B962E2" w:rsidRDefault="00B962E2" w:rsidP="000A4E9D">
      <w:pPr>
        <w:spacing w:line="240" w:lineRule="auto"/>
      </w:pPr>
      <w:r>
        <w:separator/>
      </w:r>
    </w:p>
  </w:endnote>
  <w:endnote w:type="continuationSeparator" w:id="0">
    <w:p w14:paraId="48105B45" w14:textId="77777777" w:rsidR="00B962E2" w:rsidRDefault="00B962E2" w:rsidP="000A4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IDFont+F3">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CIDFont+F1">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666820"/>
      <w:docPartObj>
        <w:docPartGallery w:val="Page Numbers (Bottom of Page)"/>
        <w:docPartUnique/>
      </w:docPartObj>
    </w:sdtPr>
    <w:sdtEndPr/>
    <w:sdtContent>
      <w:p w14:paraId="48924DF3" w14:textId="3CD4D8ED" w:rsidR="0068444B" w:rsidRDefault="0068444B">
        <w:pPr>
          <w:pStyle w:val="Rodap"/>
          <w:jc w:val="right"/>
        </w:pPr>
        <w:r>
          <w:fldChar w:fldCharType="begin"/>
        </w:r>
        <w:r>
          <w:instrText>PAGE   \* MERGEFORMAT</w:instrText>
        </w:r>
        <w:r>
          <w:fldChar w:fldCharType="separate"/>
        </w:r>
        <w:r>
          <w:t>2</w:t>
        </w:r>
        <w:r>
          <w:fldChar w:fldCharType="end"/>
        </w:r>
      </w:p>
    </w:sdtContent>
  </w:sdt>
  <w:p w14:paraId="378B3C5C" w14:textId="77777777" w:rsidR="0068444B" w:rsidRDefault="006844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9B36" w14:textId="77777777" w:rsidR="00B962E2" w:rsidRDefault="00B962E2" w:rsidP="000A4E9D">
      <w:pPr>
        <w:spacing w:line="240" w:lineRule="auto"/>
      </w:pPr>
      <w:bookmarkStart w:id="0" w:name="_Hlk155957210"/>
      <w:bookmarkEnd w:id="0"/>
      <w:r>
        <w:separator/>
      </w:r>
    </w:p>
  </w:footnote>
  <w:footnote w:type="continuationSeparator" w:id="0">
    <w:p w14:paraId="1B385D14" w14:textId="77777777" w:rsidR="00B962E2" w:rsidRDefault="00B962E2" w:rsidP="000A4E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92" w:type="dxa"/>
      <w:tblLook w:val="04A0" w:firstRow="1" w:lastRow="0" w:firstColumn="1" w:lastColumn="0" w:noHBand="0" w:noVBand="1"/>
    </w:tblPr>
    <w:tblGrid>
      <w:gridCol w:w="8451"/>
      <w:gridCol w:w="222"/>
    </w:tblGrid>
    <w:tr w:rsidR="009A233E" w14:paraId="52597E4E" w14:textId="77777777" w:rsidTr="00E53786">
      <w:trPr>
        <w:trHeight w:val="1416"/>
      </w:trPr>
      <w:tc>
        <w:tcPr>
          <w:tcW w:w="8451" w:type="dxa"/>
          <w:shd w:val="clear" w:color="auto" w:fill="auto"/>
        </w:tcPr>
        <w:p w14:paraId="651B34BC" w14:textId="4860BADD" w:rsidR="009A233E" w:rsidRDefault="00B10B89" w:rsidP="009A233E">
          <w:pPr>
            <w:jc w:val="both"/>
            <w:outlineLvl w:val="0"/>
            <w:rPr>
              <w:b/>
              <w:bCs/>
              <w:sz w:val="18"/>
              <w:szCs w:val="18"/>
            </w:rPr>
          </w:pPr>
          <w:r>
            <w:rPr>
              <w:b/>
              <w:bCs/>
              <w:noProof/>
              <w:sz w:val="18"/>
              <w:szCs w:val="18"/>
            </w:rPr>
            <w:drawing>
              <wp:inline distT="0" distB="0" distL="0" distR="0" wp14:anchorId="65C00DA5" wp14:editId="3A3E1F5A">
                <wp:extent cx="5353050" cy="814594"/>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5368108" cy="816885"/>
                        </a:xfrm>
                        <a:prstGeom prst="rect">
                          <a:avLst/>
                        </a:prstGeom>
                      </pic:spPr>
                    </pic:pic>
                  </a:graphicData>
                </a:graphic>
              </wp:inline>
            </w:drawing>
          </w:r>
        </w:p>
      </w:tc>
      <w:tc>
        <w:tcPr>
          <w:tcW w:w="222" w:type="dxa"/>
          <w:shd w:val="clear" w:color="auto" w:fill="auto"/>
        </w:tcPr>
        <w:p w14:paraId="56BE01D7" w14:textId="77777777" w:rsidR="009A233E" w:rsidRDefault="009A233E" w:rsidP="009A233E">
          <w:pPr>
            <w:spacing w:after="20"/>
            <w:rPr>
              <w:b/>
              <w:bCs/>
              <w:sz w:val="18"/>
              <w:szCs w:val="18"/>
            </w:rPr>
          </w:pPr>
        </w:p>
      </w:tc>
    </w:tr>
  </w:tbl>
  <w:p w14:paraId="65707218" w14:textId="41ED7D63" w:rsidR="009A233E" w:rsidRDefault="009A233E" w:rsidP="00E537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406"/>
    <w:multiLevelType w:val="hybridMultilevel"/>
    <w:tmpl w:val="B2E0C838"/>
    <w:lvl w:ilvl="0" w:tplc="37703D3A">
      <w:start w:val="1"/>
      <w:numFmt w:val="decimal"/>
      <w:lvlText w:val="%1."/>
      <w:lvlJc w:val="left"/>
      <w:pPr>
        <w:ind w:left="720" w:hanging="360"/>
      </w:pPr>
      <w:rPr>
        <w:rFonts w:ascii="Arial" w:hAnsi="Arial" w:cs="Arial"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081314"/>
    <w:multiLevelType w:val="multilevel"/>
    <w:tmpl w:val="31F2A212"/>
    <w:lvl w:ilvl="0">
      <w:start w:val="4"/>
      <w:numFmt w:val="decimal"/>
      <w:lvlText w:val="%1"/>
      <w:lvlJc w:val="left"/>
      <w:pPr>
        <w:ind w:left="360" w:hanging="360"/>
      </w:pPr>
      <w:rPr>
        <w:rFonts w:hint="default"/>
        <w:b/>
        <w:bCs/>
      </w:rPr>
    </w:lvl>
    <w:lvl w:ilvl="1">
      <w:start w:val="1"/>
      <w:numFmt w:val="decimal"/>
      <w:lvlText w:val="%1.%2"/>
      <w:lvlJc w:val="left"/>
      <w:pPr>
        <w:ind w:left="1353"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2C206BE"/>
    <w:multiLevelType w:val="hybridMultilevel"/>
    <w:tmpl w:val="AB04663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BF4C33"/>
    <w:multiLevelType w:val="hybridMultilevel"/>
    <w:tmpl w:val="5756DFA8"/>
    <w:lvl w:ilvl="0" w:tplc="E3AA9006">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2F379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D205B8"/>
    <w:multiLevelType w:val="hybridMultilevel"/>
    <w:tmpl w:val="4192DEA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6F77DF"/>
    <w:multiLevelType w:val="hybridMultilevel"/>
    <w:tmpl w:val="F2C07B50"/>
    <w:lvl w:ilvl="0" w:tplc="50FE97DA">
      <w:start w:val="1"/>
      <w:numFmt w:val="lowerLetter"/>
      <w:lvlText w:val="%1."/>
      <w:lvlJc w:val="left"/>
      <w:pPr>
        <w:ind w:left="1500" w:hanging="360"/>
      </w:pPr>
      <w:rPr>
        <w:b/>
        <w:bCs/>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7" w15:restartNumberingAfterBreak="0">
    <w:nsid w:val="2C9D500B"/>
    <w:multiLevelType w:val="hybridMultilevel"/>
    <w:tmpl w:val="129E99C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2DDE60D2"/>
    <w:multiLevelType w:val="hybridMultilevel"/>
    <w:tmpl w:val="691822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500F1D"/>
    <w:multiLevelType w:val="hybridMultilevel"/>
    <w:tmpl w:val="E2B6FF1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E07D66"/>
    <w:multiLevelType w:val="hybridMultilevel"/>
    <w:tmpl w:val="F98869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CD2C93"/>
    <w:multiLevelType w:val="hybridMultilevel"/>
    <w:tmpl w:val="5C7C59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055D87"/>
    <w:multiLevelType w:val="hybridMultilevel"/>
    <w:tmpl w:val="B862003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B9F0434"/>
    <w:multiLevelType w:val="hybridMultilevel"/>
    <w:tmpl w:val="8EB073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9B0D65"/>
    <w:multiLevelType w:val="hybridMultilevel"/>
    <w:tmpl w:val="143CB880"/>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F71122A"/>
    <w:multiLevelType w:val="hybridMultilevel"/>
    <w:tmpl w:val="BEB230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6B43417"/>
    <w:multiLevelType w:val="hybridMultilevel"/>
    <w:tmpl w:val="108AC25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A673E5"/>
    <w:multiLevelType w:val="hybridMultilevel"/>
    <w:tmpl w:val="C030795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48AC3BB7"/>
    <w:multiLevelType w:val="hybridMultilevel"/>
    <w:tmpl w:val="4B1AB458"/>
    <w:lvl w:ilvl="0" w:tplc="04160017">
      <w:start w:val="1"/>
      <w:numFmt w:val="lowerLetter"/>
      <w:lvlText w:val="%1)"/>
      <w:lvlJc w:val="left"/>
      <w:pPr>
        <w:ind w:left="720" w:hanging="360"/>
      </w:pPr>
    </w:lvl>
    <w:lvl w:ilvl="1" w:tplc="036EDAE2">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EE0DE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680E9A"/>
    <w:multiLevelType w:val="hybridMultilevel"/>
    <w:tmpl w:val="D93A2068"/>
    <w:lvl w:ilvl="0" w:tplc="AD6EEA7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505476C5"/>
    <w:multiLevelType w:val="hybridMultilevel"/>
    <w:tmpl w:val="56A0CEE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8F2BF0"/>
    <w:multiLevelType w:val="hybridMultilevel"/>
    <w:tmpl w:val="884419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55035D9"/>
    <w:multiLevelType w:val="hybridMultilevel"/>
    <w:tmpl w:val="015EEED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56BB0C8F"/>
    <w:multiLevelType w:val="hybridMultilevel"/>
    <w:tmpl w:val="D87CA1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223ABD"/>
    <w:multiLevelType w:val="hybridMultilevel"/>
    <w:tmpl w:val="25580F0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CE64B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5298A"/>
    <w:multiLevelType w:val="hybridMultilevel"/>
    <w:tmpl w:val="699871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552CD1"/>
    <w:multiLevelType w:val="hybridMultilevel"/>
    <w:tmpl w:val="341EDE4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91E429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A84B38"/>
    <w:multiLevelType w:val="hybridMultilevel"/>
    <w:tmpl w:val="C57A93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D4713A"/>
    <w:multiLevelType w:val="multilevel"/>
    <w:tmpl w:val="28301900"/>
    <w:lvl w:ilvl="0">
      <w:start w:val="1"/>
      <w:numFmt w:val="decimal"/>
      <w:lvlText w:val="%1."/>
      <w:lvlJc w:val="left"/>
      <w:pPr>
        <w:ind w:left="709" w:hanging="709"/>
      </w:pPr>
      <w:rPr>
        <w:rFonts w:hint="default"/>
        <w:b/>
        <w:bCs/>
      </w:rPr>
    </w:lvl>
    <w:lvl w:ilvl="1">
      <w:start w:val="1"/>
      <w:numFmt w:val="decimal"/>
      <w:lvlText w:val="%1.%2."/>
      <w:lvlJc w:val="left"/>
      <w:pPr>
        <w:ind w:left="709" w:hanging="709"/>
      </w:pPr>
      <w:rPr>
        <w:rFonts w:hint="default"/>
        <w:b/>
        <w:bCs/>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32" w15:restartNumberingAfterBreak="0">
    <w:nsid w:val="7FC04272"/>
    <w:multiLevelType w:val="hybridMultilevel"/>
    <w:tmpl w:val="A7169E7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8"/>
  </w:num>
  <w:num w:numId="3">
    <w:abstractNumId w:val="13"/>
  </w:num>
  <w:num w:numId="4">
    <w:abstractNumId w:val="31"/>
  </w:num>
  <w:num w:numId="5">
    <w:abstractNumId w:val="0"/>
  </w:num>
  <w:num w:numId="6">
    <w:abstractNumId w:val="20"/>
  </w:num>
  <w:num w:numId="7">
    <w:abstractNumId w:val="8"/>
  </w:num>
  <w:num w:numId="8">
    <w:abstractNumId w:val="18"/>
  </w:num>
  <w:num w:numId="9">
    <w:abstractNumId w:val="15"/>
  </w:num>
  <w:num w:numId="10">
    <w:abstractNumId w:val="26"/>
  </w:num>
  <w:num w:numId="11">
    <w:abstractNumId w:val="4"/>
  </w:num>
  <w:num w:numId="12">
    <w:abstractNumId w:val="2"/>
  </w:num>
  <w:num w:numId="13">
    <w:abstractNumId w:val="9"/>
  </w:num>
  <w:num w:numId="14">
    <w:abstractNumId w:val="16"/>
  </w:num>
  <w:num w:numId="15">
    <w:abstractNumId w:val="5"/>
  </w:num>
  <w:num w:numId="16">
    <w:abstractNumId w:val="22"/>
  </w:num>
  <w:num w:numId="17">
    <w:abstractNumId w:val="11"/>
  </w:num>
  <w:num w:numId="18">
    <w:abstractNumId w:val="17"/>
  </w:num>
  <w:num w:numId="19">
    <w:abstractNumId w:val="24"/>
  </w:num>
  <w:num w:numId="20">
    <w:abstractNumId w:val="25"/>
  </w:num>
  <w:num w:numId="21">
    <w:abstractNumId w:val="23"/>
  </w:num>
  <w:num w:numId="22">
    <w:abstractNumId w:val="10"/>
  </w:num>
  <w:num w:numId="23">
    <w:abstractNumId w:val="21"/>
  </w:num>
  <w:num w:numId="24">
    <w:abstractNumId w:val="3"/>
  </w:num>
  <w:num w:numId="25">
    <w:abstractNumId w:val="32"/>
  </w:num>
  <w:num w:numId="26">
    <w:abstractNumId w:val="12"/>
  </w:num>
  <w:num w:numId="27">
    <w:abstractNumId w:val="19"/>
  </w:num>
  <w:num w:numId="28">
    <w:abstractNumId w:val="29"/>
  </w:num>
  <w:num w:numId="29">
    <w:abstractNumId w:val="1"/>
  </w:num>
  <w:num w:numId="30">
    <w:abstractNumId w:val="6"/>
  </w:num>
  <w:num w:numId="31">
    <w:abstractNumId w:val="30"/>
  </w:num>
  <w:num w:numId="32">
    <w:abstractNumId w:val="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1B"/>
    <w:rsid w:val="0000355B"/>
    <w:rsid w:val="0000446D"/>
    <w:rsid w:val="000102EF"/>
    <w:rsid w:val="000162FB"/>
    <w:rsid w:val="00033F09"/>
    <w:rsid w:val="00056619"/>
    <w:rsid w:val="00064916"/>
    <w:rsid w:val="000676C5"/>
    <w:rsid w:val="00071657"/>
    <w:rsid w:val="00081134"/>
    <w:rsid w:val="000A01A0"/>
    <w:rsid w:val="000A12AC"/>
    <w:rsid w:val="000A159F"/>
    <w:rsid w:val="000A31CF"/>
    <w:rsid w:val="000A4448"/>
    <w:rsid w:val="000A4E9D"/>
    <w:rsid w:val="000B1E16"/>
    <w:rsid w:val="000B5A1B"/>
    <w:rsid w:val="000C1154"/>
    <w:rsid w:val="000D1636"/>
    <w:rsid w:val="000D2218"/>
    <w:rsid w:val="000E68DC"/>
    <w:rsid w:val="00101793"/>
    <w:rsid w:val="00104E62"/>
    <w:rsid w:val="00105133"/>
    <w:rsid w:val="00107215"/>
    <w:rsid w:val="00155F28"/>
    <w:rsid w:val="00164A1A"/>
    <w:rsid w:val="00175483"/>
    <w:rsid w:val="001A4836"/>
    <w:rsid w:val="001B0457"/>
    <w:rsid w:val="001B41A2"/>
    <w:rsid w:val="001C1BE2"/>
    <w:rsid w:val="001C4EF0"/>
    <w:rsid w:val="001D7C93"/>
    <w:rsid w:val="001E2FAA"/>
    <w:rsid w:val="001E39D5"/>
    <w:rsid w:val="001F216D"/>
    <w:rsid w:val="001F2D97"/>
    <w:rsid w:val="001F32EE"/>
    <w:rsid w:val="00201982"/>
    <w:rsid w:val="00202DDD"/>
    <w:rsid w:val="0022657C"/>
    <w:rsid w:val="00227D14"/>
    <w:rsid w:val="002458A0"/>
    <w:rsid w:val="0026034B"/>
    <w:rsid w:val="00265230"/>
    <w:rsid w:val="00265945"/>
    <w:rsid w:val="00265FA5"/>
    <w:rsid w:val="00284428"/>
    <w:rsid w:val="0028796F"/>
    <w:rsid w:val="00291115"/>
    <w:rsid w:val="002A2110"/>
    <w:rsid w:val="002A6BF9"/>
    <w:rsid w:val="002A6E30"/>
    <w:rsid w:val="002B4B99"/>
    <w:rsid w:val="002B5DB8"/>
    <w:rsid w:val="002B7A23"/>
    <w:rsid w:val="002E1424"/>
    <w:rsid w:val="002F151B"/>
    <w:rsid w:val="0030435E"/>
    <w:rsid w:val="00304606"/>
    <w:rsid w:val="003111D6"/>
    <w:rsid w:val="00320BEC"/>
    <w:rsid w:val="003257C7"/>
    <w:rsid w:val="0034096E"/>
    <w:rsid w:val="00340D4E"/>
    <w:rsid w:val="00357614"/>
    <w:rsid w:val="00363BDC"/>
    <w:rsid w:val="0037352A"/>
    <w:rsid w:val="00381EED"/>
    <w:rsid w:val="003B1099"/>
    <w:rsid w:val="003C17EE"/>
    <w:rsid w:val="003C1A7C"/>
    <w:rsid w:val="003C2F79"/>
    <w:rsid w:val="003C35B5"/>
    <w:rsid w:val="003C4AC1"/>
    <w:rsid w:val="003D6865"/>
    <w:rsid w:val="003E6793"/>
    <w:rsid w:val="003E6B99"/>
    <w:rsid w:val="003F278A"/>
    <w:rsid w:val="003F489A"/>
    <w:rsid w:val="00414BE9"/>
    <w:rsid w:val="00425175"/>
    <w:rsid w:val="00426424"/>
    <w:rsid w:val="00432CD1"/>
    <w:rsid w:val="00434D2D"/>
    <w:rsid w:val="00434D3C"/>
    <w:rsid w:val="00441D9E"/>
    <w:rsid w:val="00442CA2"/>
    <w:rsid w:val="00443433"/>
    <w:rsid w:val="004446FB"/>
    <w:rsid w:val="00464F92"/>
    <w:rsid w:val="00465470"/>
    <w:rsid w:val="0048140E"/>
    <w:rsid w:val="004827A3"/>
    <w:rsid w:val="004936D1"/>
    <w:rsid w:val="004972A8"/>
    <w:rsid w:val="004A5148"/>
    <w:rsid w:val="004A62C8"/>
    <w:rsid w:val="004A6ED2"/>
    <w:rsid w:val="004B272D"/>
    <w:rsid w:val="004B2ED8"/>
    <w:rsid w:val="004E17D5"/>
    <w:rsid w:val="004F1ACC"/>
    <w:rsid w:val="004F20CE"/>
    <w:rsid w:val="004F2B35"/>
    <w:rsid w:val="004F7F28"/>
    <w:rsid w:val="00505AF4"/>
    <w:rsid w:val="005250F7"/>
    <w:rsid w:val="0052750D"/>
    <w:rsid w:val="005466BA"/>
    <w:rsid w:val="00555094"/>
    <w:rsid w:val="00562D1A"/>
    <w:rsid w:val="00571D34"/>
    <w:rsid w:val="00586B0E"/>
    <w:rsid w:val="005A20A2"/>
    <w:rsid w:val="005A7CD7"/>
    <w:rsid w:val="005D386B"/>
    <w:rsid w:val="005E67FA"/>
    <w:rsid w:val="005F73AC"/>
    <w:rsid w:val="006067A8"/>
    <w:rsid w:val="006135CC"/>
    <w:rsid w:val="00620402"/>
    <w:rsid w:val="006400D0"/>
    <w:rsid w:val="00646F1C"/>
    <w:rsid w:val="00657C71"/>
    <w:rsid w:val="00660715"/>
    <w:rsid w:val="006641DE"/>
    <w:rsid w:val="006730A0"/>
    <w:rsid w:val="0067326C"/>
    <w:rsid w:val="00676CB4"/>
    <w:rsid w:val="0068444B"/>
    <w:rsid w:val="006853D2"/>
    <w:rsid w:val="006A265B"/>
    <w:rsid w:val="006B49FE"/>
    <w:rsid w:val="006B6994"/>
    <w:rsid w:val="006C5B6F"/>
    <w:rsid w:val="006C69EA"/>
    <w:rsid w:val="006D21F0"/>
    <w:rsid w:val="006E27EA"/>
    <w:rsid w:val="006E77F3"/>
    <w:rsid w:val="006E7B3B"/>
    <w:rsid w:val="006F321B"/>
    <w:rsid w:val="006F479F"/>
    <w:rsid w:val="006F519F"/>
    <w:rsid w:val="00713CA6"/>
    <w:rsid w:val="00715017"/>
    <w:rsid w:val="0072386C"/>
    <w:rsid w:val="00731642"/>
    <w:rsid w:val="00733C72"/>
    <w:rsid w:val="00734323"/>
    <w:rsid w:val="00755337"/>
    <w:rsid w:val="00763035"/>
    <w:rsid w:val="00767176"/>
    <w:rsid w:val="00773574"/>
    <w:rsid w:val="007801EF"/>
    <w:rsid w:val="00785EED"/>
    <w:rsid w:val="00795303"/>
    <w:rsid w:val="007A72F9"/>
    <w:rsid w:val="007B12F6"/>
    <w:rsid w:val="007D39B2"/>
    <w:rsid w:val="007D472C"/>
    <w:rsid w:val="007F32A6"/>
    <w:rsid w:val="007F58D0"/>
    <w:rsid w:val="007F6483"/>
    <w:rsid w:val="008079AA"/>
    <w:rsid w:val="00811185"/>
    <w:rsid w:val="008249D7"/>
    <w:rsid w:val="008320F1"/>
    <w:rsid w:val="0083644C"/>
    <w:rsid w:val="008415F9"/>
    <w:rsid w:val="008739E6"/>
    <w:rsid w:val="008822B6"/>
    <w:rsid w:val="008926FB"/>
    <w:rsid w:val="008968DE"/>
    <w:rsid w:val="008A6B71"/>
    <w:rsid w:val="008B201B"/>
    <w:rsid w:val="008B6C92"/>
    <w:rsid w:val="008E602B"/>
    <w:rsid w:val="008E74AE"/>
    <w:rsid w:val="008F044D"/>
    <w:rsid w:val="00903B78"/>
    <w:rsid w:val="009051BA"/>
    <w:rsid w:val="009065F5"/>
    <w:rsid w:val="00913DE8"/>
    <w:rsid w:val="00922173"/>
    <w:rsid w:val="00947AB4"/>
    <w:rsid w:val="00947AD4"/>
    <w:rsid w:val="00971F30"/>
    <w:rsid w:val="00992373"/>
    <w:rsid w:val="0099695C"/>
    <w:rsid w:val="009A233E"/>
    <w:rsid w:val="009C6640"/>
    <w:rsid w:val="009D5E61"/>
    <w:rsid w:val="009E2C1F"/>
    <w:rsid w:val="009E3A4E"/>
    <w:rsid w:val="009E428A"/>
    <w:rsid w:val="009E5888"/>
    <w:rsid w:val="009F786C"/>
    <w:rsid w:val="00A279AA"/>
    <w:rsid w:val="00A44536"/>
    <w:rsid w:val="00A47B9A"/>
    <w:rsid w:val="00A511E6"/>
    <w:rsid w:val="00A6552A"/>
    <w:rsid w:val="00A66204"/>
    <w:rsid w:val="00A726A8"/>
    <w:rsid w:val="00AA7412"/>
    <w:rsid w:val="00AB0F82"/>
    <w:rsid w:val="00AE6BC2"/>
    <w:rsid w:val="00AF2D34"/>
    <w:rsid w:val="00AF4A0F"/>
    <w:rsid w:val="00B05DE6"/>
    <w:rsid w:val="00B10B89"/>
    <w:rsid w:val="00B53766"/>
    <w:rsid w:val="00B555D4"/>
    <w:rsid w:val="00B66F9D"/>
    <w:rsid w:val="00B812F8"/>
    <w:rsid w:val="00B822AC"/>
    <w:rsid w:val="00B83885"/>
    <w:rsid w:val="00B9035B"/>
    <w:rsid w:val="00B962E2"/>
    <w:rsid w:val="00BA4476"/>
    <w:rsid w:val="00BD7667"/>
    <w:rsid w:val="00BE040E"/>
    <w:rsid w:val="00BE4946"/>
    <w:rsid w:val="00BF4E4F"/>
    <w:rsid w:val="00BF51A2"/>
    <w:rsid w:val="00C02914"/>
    <w:rsid w:val="00C13CB9"/>
    <w:rsid w:val="00C44AA1"/>
    <w:rsid w:val="00C72455"/>
    <w:rsid w:val="00C924B7"/>
    <w:rsid w:val="00CA0F1B"/>
    <w:rsid w:val="00CB4C9C"/>
    <w:rsid w:val="00CC7479"/>
    <w:rsid w:val="00CD1EC9"/>
    <w:rsid w:val="00CD45F9"/>
    <w:rsid w:val="00CF0FC5"/>
    <w:rsid w:val="00CF2ED9"/>
    <w:rsid w:val="00D006EB"/>
    <w:rsid w:val="00D07FF4"/>
    <w:rsid w:val="00D120A1"/>
    <w:rsid w:val="00D37F6D"/>
    <w:rsid w:val="00D61A44"/>
    <w:rsid w:val="00D62E13"/>
    <w:rsid w:val="00D63B69"/>
    <w:rsid w:val="00D64C24"/>
    <w:rsid w:val="00D95D9B"/>
    <w:rsid w:val="00DA52B1"/>
    <w:rsid w:val="00DD0671"/>
    <w:rsid w:val="00DD3208"/>
    <w:rsid w:val="00DF5A61"/>
    <w:rsid w:val="00DF6BFE"/>
    <w:rsid w:val="00E1379F"/>
    <w:rsid w:val="00E149EF"/>
    <w:rsid w:val="00E27644"/>
    <w:rsid w:val="00E50B80"/>
    <w:rsid w:val="00E53786"/>
    <w:rsid w:val="00E57A82"/>
    <w:rsid w:val="00E60C5A"/>
    <w:rsid w:val="00E7005C"/>
    <w:rsid w:val="00EC3D02"/>
    <w:rsid w:val="00EE0DB6"/>
    <w:rsid w:val="00EE424D"/>
    <w:rsid w:val="00F06214"/>
    <w:rsid w:val="00F10F96"/>
    <w:rsid w:val="00F11A01"/>
    <w:rsid w:val="00F318C9"/>
    <w:rsid w:val="00F45658"/>
    <w:rsid w:val="00F5249E"/>
    <w:rsid w:val="00F53CF6"/>
    <w:rsid w:val="00F565EA"/>
    <w:rsid w:val="00F84690"/>
    <w:rsid w:val="00F86757"/>
    <w:rsid w:val="00F90D91"/>
    <w:rsid w:val="00F93D6E"/>
    <w:rsid w:val="00FC133E"/>
    <w:rsid w:val="00FD490E"/>
    <w:rsid w:val="00FF46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1A066"/>
  <w15:docId w15:val="{1297E775-1F80-49B1-B5D6-8D482A3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83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0A4E9D"/>
    <w:pPr>
      <w:tabs>
        <w:tab w:val="center" w:pos="4252"/>
        <w:tab w:val="right" w:pos="8504"/>
      </w:tabs>
      <w:spacing w:line="240" w:lineRule="auto"/>
    </w:pPr>
  </w:style>
  <w:style w:type="character" w:customStyle="1" w:styleId="CabealhoChar">
    <w:name w:val="Cabeçalho Char"/>
    <w:basedOn w:val="Fontepargpadro"/>
    <w:link w:val="Cabealho"/>
    <w:uiPriority w:val="99"/>
    <w:rsid w:val="000A4E9D"/>
  </w:style>
  <w:style w:type="paragraph" w:styleId="Rodap">
    <w:name w:val="footer"/>
    <w:basedOn w:val="Normal"/>
    <w:link w:val="RodapChar"/>
    <w:uiPriority w:val="99"/>
    <w:unhideWhenUsed/>
    <w:rsid w:val="000A4E9D"/>
    <w:pPr>
      <w:tabs>
        <w:tab w:val="center" w:pos="4252"/>
        <w:tab w:val="right" w:pos="8504"/>
      </w:tabs>
      <w:spacing w:line="240" w:lineRule="auto"/>
    </w:pPr>
  </w:style>
  <w:style w:type="character" w:customStyle="1" w:styleId="RodapChar">
    <w:name w:val="Rodapé Char"/>
    <w:basedOn w:val="Fontepargpadro"/>
    <w:link w:val="Rodap"/>
    <w:uiPriority w:val="99"/>
    <w:rsid w:val="000A4E9D"/>
  </w:style>
  <w:style w:type="table" w:styleId="Tabelacomgrade">
    <w:name w:val="Table Grid"/>
    <w:basedOn w:val="Tabelanormal"/>
    <w:uiPriority w:val="39"/>
    <w:rsid w:val="009923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agrafo,Lista Colorida - Ênfase 11"/>
    <w:basedOn w:val="Normal"/>
    <w:link w:val="PargrafodaListaChar"/>
    <w:uiPriority w:val="34"/>
    <w:qFormat/>
    <w:rsid w:val="0026034B"/>
    <w:pPr>
      <w:spacing w:after="160" w:line="259" w:lineRule="auto"/>
      <w:ind w:left="720"/>
      <w:contextualSpacing/>
    </w:pPr>
    <w:rPr>
      <w:rFonts w:asciiTheme="minorHAnsi" w:eastAsiaTheme="minorHAnsi" w:hAnsiTheme="minorHAnsi" w:cstheme="minorBidi"/>
      <w:lang w:eastAsia="en-US"/>
    </w:rPr>
  </w:style>
  <w:style w:type="character" w:customStyle="1" w:styleId="PargrafodaListaChar">
    <w:name w:val="Parágrafo da Lista Char"/>
    <w:aliases w:val="Paragrafo Char,Lista Colorida - Ênfase 11 Char"/>
    <w:link w:val="PargrafodaLista"/>
    <w:uiPriority w:val="34"/>
    <w:locked/>
    <w:rsid w:val="00A66204"/>
    <w:rPr>
      <w:rFonts w:asciiTheme="minorHAnsi" w:eastAsiaTheme="minorHAnsi" w:hAnsiTheme="minorHAnsi" w:cstheme="minorBidi"/>
      <w:lang w:eastAsia="en-US"/>
    </w:rPr>
  </w:style>
  <w:style w:type="character" w:customStyle="1" w:styleId="fontstyle01">
    <w:name w:val="fontstyle01"/>
    <w:basedOn w:val="Fontepargpadro"/>
    <w:rsid w:val="006E27EA"/>
    <w:rPr>
      <w:rFonts w:ascii="CIDFont+F3" w:hAnsi="CIDFont+F3" w:hint="default"/>
      <w:b w:val="0"/>
      <w:bCs w:val="0"/>
      <w:i w:val="0"/>
      <w:iCs w:val="0"/>
      <w:color w:val="000000"/>
      <w:sz w:val="22"/>
      <w:szCs w:val="22"/>
    </w:rPr>
  </w:style>
  <w:style w:type="character" w:styleId="Hyperlink">
    <w:name w:val="Hyperlink"/>
    <w:basedOn w:val="Fontepargpadro"/>
    <w:uiPriority w:val="99"/>
    <w:unhideWhenUsed/>
    <w:rsid w:val="002B5DB8"/>
    <w:rPr>
      <w:color w:val="0000FF" w:themeColor="hyperlink"/>
      <w:u w:val="single"/>
    </w:rPr>
  </w:style>
  <w:style w:type="character" w:styleId="MenoPendente">
    <w:name w:val="Unresolved Mention"/>
    <w:basedOn w:val="Fontepargpadro"/>
    <w:uiPriority w:val="99"/>
    <w:semiHidden/>
    <w:unhideWhenUsed/>
    <w:rsid w:val="002B5DB8"/>
    <w:rPr>
      <w:color w:val="605E5C"/>
      <w:shd w:val="clear" w:color="auto" w:fill="E1DFDD"/>
    </w:rPr>
  </w:style>
  <w:style w:type="character" w:customStyle="1" w:styleId="fontstyle21">
    <w:name w:val="fontstyle21"/>
    <w:basedOn w:val="Fontepargpadro"/>
    <w:rsid w:val="008320F1"/>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8944">
      <w:bodyDiv w:val="1"/>
      <w:marLeft w:val="0"/>
      <w:marRight w:val="0"/>
      <w:marTop w:val="0"/>
      <w:marBottom w:val="0"/>
      <w:divBdr>
        <w:top w:val="none" w:sz="0" w:space="0" w:color="auto"/>
        <w:left w:val="none" w:sz="0" w:space="0" w:color="auto"/>
        <w:bottom w:val="none" w:sz="0" w:space="0" w:color="auto"/>
        <w:right w:val="none" w:sz="0" w:space="0" w:color="auto"/>
      </w:divBdr>
    </w:div>
    <w:div w:id="115608347">
      <w:bodyDiv w:val="1"/>
      <w:marLeft w:val="0"/>
      <w:marRight w:val="0"/>
      <w:marTop w:val="0"/>
      <w:marBottom w:val="0"/>
      <w:divBdr>
        <w:top w:val="none" w:sz="0" w:space="0" w:color="auto"/>
        <w:left w:val="none" w:sz="0" w:space="0" w:color="auto"/>
        <w:bottom w:val="none" w:sz="0" w:space="0" w:color="auto"/>
        <w:right w:val="none" w:sz="0" w:space="0" w:color="auto"/>
      </w:divBdr>
    </w:div>
    <w:div w:id="232399535">
      <w:bodyDiv w:val="1"/>
      <w:marLeft w:val="0"/>
      <w:marRight w:val="0"/>
      <w:marTop w:val="0"/>
      <w:marBottom w:val="0"/>
      <w:divBdr>
        <w:top w:val="none" w:sz="0" w:space="0" w:color="auto"/>
        <w:left w:val="none" w:sz="0" w:space="0" w:color="auto"/>
        <w:bottom w:val="none" w:sz="0" w:space="0" w:color="auto"/>
        <w:right w:val="none" w:sz="0" w:space="0" w:color="auto"/>
      </w:divBdr>
    </w:div>
    <w:div w:id="303775457">
      <w:bodyDiv w:val="1"/>
      <w:marLeft w:val="0"/>
      <w:marRight w:val="0"/>
      <w:marTop w:val="0"/>
      <w:marBottom w:val="0"/>
      <w:divBdr>
        <w:top w:val="none" w:sz="0" w:space="0" w:color="auto"/>
        <w:left w:val="none" w:sz="0" w:space="0" w:color="auto"/>
        <w:bottom w:val="none" w:sz="0" w:space="0" w:color="auto"/>
        <w:right w:val="none" w:sz="0" w:space="0" w:color="auto"/>
      </w:divBdr>
    </w:div>
    <w:div w:id="846090940">
      <w:bodyDiv w:val="1"/>
      <w:marLeft w:val="0"/>
      <w:marRight w:val="0"/>
      <w:marTop w:val="0"/>
      <w:marBottom w:val="0"/>
      <w:divBdr>
        <w:top w:val="none" w:sz="0" w:space="0" w:color="auto"/>
        <w:left w:val="none" w:sz="0" w:space="0" w:color="auto"/>
        <w:bottom w:val="none" w:sz="0" w:space="0" w:color="auto"/>
        <w:right w:val="none" w:sz="0" w:space="0" w:color="auto"/>
      </w:divBdr>
    </w:div>
    <w:div w:id="1114442744">
      <w:bodyDiv w:val="1"/>
      <w:marLeft w:val="0"/>
      <w:marRight w:val="0"/>
      <w:marTop w:val="0"/>
      <w:marBottom w:val="0"/>
      <w:divBdr>
        <w:top w:val="none" w:sz="0" w:space="0" w:color="auto"/>
        <w:left w:val="none" w:sz="0" w:space="0" w:color="auto"/>
        <w:bottom w:val="none" w:sz="0" w:space="0" w:color="auto"/>
        <w:right w:val="none" w:sz="0" w:space="0" w:color="auto"/>
      </w:divBdr>
    </w:div>
    <w:div w:id="1577588674">
      <w:bodyDiv w:val="1"/>
      <w:marLeft w:val="0"/>
      <w:marRight w:val="0"/>
      <w:marTop w:val="0"/>
      <w:marBottom w:val="0"/>
      <w:divBdr>
        <w:top w:val="none" w:sz="0" w:space="0" w:color="auto"/>
        <w:left w:val="none" w:sz="0" w:space="0" w:color="auto"/>
        <w:bottom w:val="none" w:sz="0" w:space="0" w:color="auto"/>
        <w:right w:val="none" w:sz="0" w:space="0" w:color="auto"/>
      </w:divBdr>
    </w:div>
    <w:div w:id="1614051000">
      <w:bodyDiv w:val="1"/>
      <w:marLeft w:val="0"/>
      <w:marRight w:val="0"/>
      <w:marTop w:val="0"/>
      <w:marBottom w:val="0"/>
      <w:divBdr>
        <w:top w:val="none" w:sz="0" w:space="0" w:color="auto"/>
        <w:left w:val="none" w:sz="0" w:space="0" w:color="auto"/>
        <w:bottom w:val="none" w:sz="0" w:space="0" w:color="auto"/>
        <w:right w:val="none" w:sz="0" w:space="0" w:color="auto"/>
      </w:divBdr>
    </w:div>
    <w:div w:id="1662000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B8F92-4C62-4275-9CFD-5F7D35E0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9</Pages>
  <Words>2894</Words>
  <Characters>15631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20</cp:revision>
  <cp:lastPrinted>2025-02-14T19:43:00Z</cp:lastPrinted>
  <dcterms:created xsi:type="dcterms:W3CDTF">2024-05-20T16:47:00Z</dcterms:created>
  <dcterms:modified xsi:type="dcterms:W3CDTF">2025-02-14T19:43:00Z</dcterms:modified>
</cp:coreProperties>
</file>