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875D" w14:textId="77777777" w:rsidR="00F90D91" w:rsidRPr="00D64C24" w:rsidRDefault="00F90D91" w:rsidP="00107215">
      <w:pPr>
        <w:widowControl w:val="0"/>
        <w:pBdr>
          <w:top w:val="nil"/>
          <w:left w:val="nil"/>
          <w:bottom w:val="nil"/>
          <w:right w:val="nil"/>
          <w:between w:val="nil"/>
        </w:pBdr>
        <w:spacing w:line="240" w:lineRule="auto"/>
        <w:ind w:right="-4"/>
        <w:jc w:val="center"/>
        <w:rPr>
          <w:b/>
          <w:sz w:val="24"/>
          <w:szCs w:val="24"/>
        </w:rPr>
      </w:pPr>
      <w:r w:rsidRPr="00D64C24">
        <w:rPr>
          <w:b/>
          <w:sz w:val="24"/>
          <w:szCs w:val="24"/>
        </w:rPr>
        <w:t>TERMO DE REFERÊNCIA</w:t>
      </w:r>
    </w:p>
    <w:p w14:paraId="7AD8D474" w14:textId="22839338" w:rsidR="006E77F3" w:rsidRPr="003B2588" w:rsidRDefault="006E77F3" w:rsidP="006E77F3">
      <w:pPr>
        <w:tabs>
          <w:tab w:val="left" w:pos="2340"/>
          <w:tab w:val="left" w:pos="4464"/>
        </w:tabs>
        <w:jc w:val="center"/>
        <w:rPr>
          <w:b/>
          <w:sz w:val="20"/>
          <w:szCs w:val="20"/>
          <w:highlight w:val="yellow"/>
        </w:rPr>
      </w:pPr>
      <w:r w:rsidRPr="00D64C24">
        <w:rPr>
          <w:b/>
          <w:bCs/>
          <w:sz w:val="20"/>
          <w:szCs w:val="20"/>
        </w:rPr>
        <w:t xml:space="preserve">PROCESSO ADMINISTRATIVO </w:t>
      </w:r>
      <w:r w:rsidRPr="003B2588">
        <w:rPr>
          <w:b/>
          <w:bCs/>
          <w:sz w:val="20"/>
          <w:szCs w:val="20"/>
          <w:highlight w:val="yellow"/>
        </w:rPr>
        <w:t>LICITATÓRIO Nº 0</w:t>
      </w:r>
      <w:r w:rsidR="005D386B" w:rsidRPr="003B2588">
        <w:rPr>
          <w:b/>
          <w:bCs/>
          <w:sz w:val="20"/>
          <w:szCs w:val="20"/>
          <w:highlight w:val="yellow"/>
        </w:rPr>
        <w:t>05</w:t>
      </w:r>
      <w:r w:rsidRPr="003B2588">
        <w:rPr>
          <w:b/>
          <w:bCs/>
          <w:sz w:val="20"/>
          <w:szCs w:val="20"/>
          <w:highlight w:val="yellow"/>
        </w:rPr>
        <w:t>/202</w:t>
      </w:r>
      <w:r w:rsidR="00D64C24" w:rsidRPr="003B2588">
        <w:rPr>
          <w:b/>
          <w:bCs/>
          <w:sz w:val="20"/>
          <w:szCs w:val="20"/>
          <w:highlight w:val="yellow"/>
        </w:rPr>
        <w:t>5</w:t>
      </w:r>
    </w:p>
    <w:p w14:paraId="6B5B5841" w14:textId="4FD7BD3C" w:rsidR="006E77F3" w:rsidRPr="00D64C24" w:rsidRDefault="006E77F3" w:rsidP="00646F1C">
      <w:pPr>
        <w:tabs>
          <w:tab w:val="left" w:pos="2340"/>
          <w:tab w:val="left" w:pos="4464"/>
        </w:tabs>
        <w:spacing w:after="240"/>
        <w:jc w:val="center"/>
        <w:rPr>
          <w:b/>
          <w:sz w:val="20"/>
          <w:szCs w:val="20"/>
        </w:rPr>
      </w:pPr>
      <w:r w:rsidRPr="003B2588">
        <w:rPr>
          <w:b/>
          <w:sz w:val="20"/>
          <w:szCs w:val="20"/>
          <w:highlight w:val="yellow"/>
        </w:rPr>
        <w:t xml:space="preserve">DISPENSA DE </w:t>
      </w:r>
      <w:r w:rsidRPr="003B2588">
        <w:rPr>
          <w:b/>
          <w:bCs/>
          <w:sz w:val="20"/>
          <w:szCs w:val="20"/>
          <w:highlight w:val="yellow"/>
        </w:rPr>
        <w:t xml:space="preserve">LICITAÇÃO Nº </w:t>
      </w:r>
      <w:r w:rsidR="005D386B" w:rsidRPr="003B2588">
        <w:rPr>
          <w:b/>
          <w:bCs/>
          <w:sz w:val="20"/>
          <w:szCs w:val="20"/>
          <w:highlight w:val="yellow"/>
        </w:rPr>
        <w:t>003</w:t>
      </w:r>
      <w:r w:rsidRPr="003B2588">
        <w:rPr>
          <w:b/>
          <w:bCs/>
          <w:sz w:val="20"/>
          <w:szCs w:val="20"/>
          <w:highlight w:val="yellow"/>
        </w:rPr>
        <w:t>/202</w:t>
      </w:r>
      <w:r w:rsidR="00D64C24" w:rsidRPr="003B2588">
        <w:rPr>
          <w:b/>
          <w:bCs/>
          <w:sz w:val="20"/>
          <w:szCs w:val="20"/>
          <w:highlight w:val="yellow"/>
        </w:rPr>
        <w:t>5</w:t>
      </w:r>
    </w:p>
    <w:p w14:paraId="3475379E" w14:textId="15B50146" w:rsidR="0026034B" w:rsidRDefault="0026034B" w:rsidP="001A4836">
      <w:pPr>
        <w:pStyle w:val="PargrafodaLista"/>
        <w:numPr>
          <w:ilvl w:val="0"/>
          <w:numId w:val="5"/>
        </w:numPr>
        <w:spacing w:before="240" w:line="360" w:lineRule="auto"/>
        <w:rPr>
          <w:rFonts w:ascii="Arial" w:hAnsi="Arial" w:cs="Arial"/>
          <w:b/>
        </w:rPr>
      </w:pPr>
      <w:r w:rsidRPr="00265230">
        <w:rPr>
          <w:rFonts w:ascii="Arial" w:hAnsi="Arial" w:cs="Arial"/>
          <w:b/>
        </w:rPr>
        <w:t>OBJETO</w:t>
      </w:r>
    </w:p>
    <w:p w14:paraId="5BFE8A75" w14:textId="658E964B" w:rsidR="001A4836" w:rsidRDefault="00795303" w:rsidP="00DD0671">
      <w:pPr>
        <w:tabs>
          <w:tab w:val="left" w:pos="1985"/>
        </w:tabs>
        <w:spacing w:after="240" w:line="360" w:lineRule="auto"/>
        <w:jc w:val="both"/>
      </w:pPr>
      <w:bookmarkStart w:id="1" w:name="_Hlk189059159"/>
      <w:r w:rsidRPr="00795303">
        <w:t xml:space="preserve">A presente dispensa de licitação tem como objeto a </w:t>
      </w:r>
      <w:r w:rsidR="003B2588">
        <w:t>c</w:t>
      </w:r>
      <w:r w:rsidR="003B2588" w:rsidRPr="003B2588">
        <w:t xml:space="preserve">ontratação de empresa especializada em serviços de monitoramento, incluindo a instalação de um sistema de segurança eletrônico 24 horas, além da aquisição de uma câmera para a Usina de Britagem, para atender às necessidades do Programa SC </w:t>
      </w:r>
      <w:r w:rsidR="003B2588" w:rsidRPr="003B2588">
        <w:t>Noroeste</w:t>
      </w:r>
      <w:r w:rsidR="003B2588">
        <w:t xml:space="preserve">, </w:t>
      </w:r>
      <w:r w:rsidRPr="00795303">
        <w:t>de acordo com as especificações, contidas no termo de referência.</w:t>
      </w:r>
    </w:p>
    <w:bookmarkEnd w:id="1"/>
    <w:p w14:paraId="266A4060" w14:textId="73B8404A" w:rsidR="00DD0671" w:rsidRDefault="00DD0671" w:rsidP="00DD0671">
      <w:pPr>
        <w:pStyle w:val="PargrafodaLista"/>
        <w:numPr>
          <w:ilvl w:val="0"/>
          <w:numId w:val="5"/>
        </w:numPr>
        <w:tabs>
          <w:tab w:val="left" w:pos="426"/>
        </w:tabs>
        <w:spacing w:line="360" w:lineRule="auto"/>
        <w:rPr>
          <w:rFonts w:ascii="Arial" w:hAnsi="Arial" w:cs="Arial"/>
          <w:b/>
        </w:rPr>
      </w:pPr>
      <w:r w:rsidRPr="00E27644">
        <w:rPr>
          <w:rFonts w:ascii="Arial" w:hAnsi="Arial" w:cs="Arial"/>
          <w:b/>
        </w:rPr>
        <w:t>DESCRIÇÃO D</w:t>
      </w:r>
      <w:r w:rsidR="003B2588">
        <w:rPr>
          <w:rFonts w:ascii="Arial" w:hAnsi="Arial" w:cs="Arial"/>
          <w:b/>
        </w:rPr>
        <w:t xml:space="preserve">O OBJETO </w:t>
      </w:r>
    </w:p>
    <w:tbl>
      <w:tblPr>
        <w:tblStyle w:val="Tabelacomgrade"/>
        <w:tblW w:w="0" w:type="auto"/>
        <w:tblLook w:val="04A0" w:firstRow="1" w:lastRow="0" w:firstColumn="1" w:lastColumn="0" w:noHBand="0" w:noVBand="1"/>
      </w:tblPr>
      <w:tblGrid>
        <w:gridCol w:w="742"/>
        <w:gridCol w:w="6268"/>
        <w:gridCol w:w="985"/>
        <w:gridCol w:w="1060"/>
      </w:tblGrid>
      <w:tr w:rsidR="003B2588" w:rsidRPr="001C73B7" w14:paraId="31255B29" w14:textId="77777777" w:rsidTr="00C4423F">
        <w:tc>
          <w:tcPr>
            <w:tcW w:w="705" w:type="dxa"/>
          </w:tcPr>
          <w:p w14:paraId="17B78B09" w14:textId="77777777" w:rsidR="003B2588" w:rsidRPr="001C73B7" w:rsidRDefault="003B2588" w:rsidP="00C4423F">
            <w:pPr>
              <w:jc w:val="center"/>
              <w:rPr>
                <w:b/>
                <w:bCs/>
              </w:rPr>
            </w:pPr>
            <w:r w:rsidRPr="001C73B7">
              <w:rPr>
                <w:b/>
                <w:bCs/>
              </w:rPr>
              <w:t>ITEM</w:t>
            </w:r>
          </w:p>
        </w:tc>
        <w:tc>
          <w:tcPr>
            <w:tcW w:w="6378" w:type="dxa"/>
          </w:tcPr>
          <w:p w14:paraId="775D8A9E" w14:textId="77777777" w:rsidR="003B2588" w:rsidRPr="001C73B7" w:rsidRDefault="003B2588" w:rsidP="00C4423F">
            <w:pPr>
              <w:jc w:val="center"/>
              <w:rPr>
                <w:b/>
                <w:bCs/>
              </w:rPr>
            </w:pPr>
            <w:r w:rsidRPr="001C73B7">
              <w:rPr>
                <w:b/>
                <w:bCs/>
              </w:rPr>
              <w:t>DESCRIÇÃO</w:t>
            </w:r>
          </w:p>
        </w:tc>
        <w:tc>
          <w:tcPr>
            <w:tcW w:w="992" w:type="dxa"/>
          </w:tcPr>
          <w:p w14:paraId="5A9BD1FF" w14:textId="77777777" w:rsidR="003B2588" w:rsidRPr="001C73B7" w:rsidRDefault="003B2588" w:rsidP="00C4423F">
            <w:pPr>
              <w:jc w:val="center"/>
              <w:rPr>
                <w:b/>
                <w:bCs/>
              </w:rPr>
            </w:pPr>
            <w:r w:rsidRPr="001C73B7">
              <w:rPr>
                <w:b/>
                <w:bCs/>
              </w:rPr>
              <w:t>UM.</w:t>
            </w:r>
          </w:p>
        </w:tc>
        <w:tc>
          <w:tcPr>
            <w:tcW w:w="986" w:type="dxa"/>
          </w:tcPr>
          <w:p w14:paraId="26D4148E" w14:textId="77777777" w:rsidR="003B2588" w:rsidRPr="001C73B7" w:rsidRDefault="003B2588" w:rsidP="00C4423F">
            <w:pPr>
              <w:jc w:val="center"/>
              <w:rPr>
                <w:b/>
                <w:bCs/>
              </w:rPr>
            </w:pPr>
            <w:r w:rsidRPr="001C73B7">
              <w:rPr>
                <w:b/>
                <w:bCs/>
              </w:rPr>
              <w:t>QUANT.</w:t>
            </w:r>
          </w:p>
        </w:tc>
      </w:tr>
      <w:tr w:rsidR="003B2588" w:rsidRPr="001C73B7" w14:paraId="49BE9368" w14:textId="77777777" w:rsidTr="00C4423F">
        <w:tc>
          <w:tcPr>
            <w:tcW w:w="705" w:type="dxa"/>
          </w:tcPr>
          <w:p w14:paraId="012709FE" w14:textId="77777777" w:rsidR="003B2588" w:rsidRPr="001C73B7" w:rsidRDefault="003B2588" w:rsidP="00C4423F">
            <w:pPr>
              <w:jc w:val="center"/>
            </w:pPr>
          </w:p>
          <w:p w14:paraId="51B6FD6F" w14:textId="77777777" w:rsidR="003B2588" w:rsidRPr="001C73B7" w:rsidRDefault="003B2588" w:rsidP="00C4423F">
            <w:pPr>
              <w:jc w:val="center"/>
            </w:pPr>
            <w:r w:rsidRPr="001C73B7">
              <w:t>1</w:t>
            </w:r>
          </w:p>
        </w:tc>
        <w:tc>
          <w:tcPr>
            <w:tcW w:w="6378" w:type="dxa"/>
          </w:tcPr>
          <w:p w14:paraId="742572F3" w14:textId="77777777" w:rsidR="003B2588" w:rsidRPr="001C73B7" w:rsidRDefault="003B2588" w:rsidP="00C4423F">
            <w:pPr>
              <w:jc w:val="both"/>
            </w:pPr>
            <w:r w:rsidRPr="00DE588E">
              <w:t>Serviço de monitoramento com sistema de segurança eletrônico 24 horas na Usina de Britagem, localizada no município de Novo Horizonte.</w:t>
            </w:r>
          </w:p>
        </w:tc>
        <w:tc>
          <w:tcPr>
            <w:tcW w:w="992" w:type="dxa"/>
          </w:tcPr>
          <w:p w14:paraId="5BB7C199" w14:textId="77777777" w:rsidR="003B2588" w:rsidRPr="001C73B7" w:rsidRDefault="003B2588" w:rsidP="00C4423F">
            <w:pPr>
              <w:jc w:val="center"/>
            </w:pPr>
          </w:p>
          <w:p w14:paraId="338AE506" w14:textId="77777777" w:rsidR="003B2588" w:rsidRPr="001C73B7" w:rsidRDefault="003B2588" w:rsidP="00C4423F">
            <w:pPr>
              <w:jc w:val="center"/>
            </w:pPr>
            <w:r w:rsidRPr="001C73B7">
              <w:t>MÊS</w:t>
            </w:r>
          </w:p>
        </w:tc>
        <w:tc>
          <w:tcPr>
            <w:tcW w:w="986" w:type="dxa"/>
          </w:tcPr>
          <w:p w14:paraId="7280D3DE" w14:textId="77777777" w:rsidR="003B2588" w:rsidRPr="001C73B7" w:rsidRDefault="003B2588" w:rsidP="00C4423F">
            <w:pPr>
              <w:jc w:val="center"/>
            </w:pPr>
          </w:p>
          <w:p w14:paraId="534CF0CC" w14:textId="77777777" w:rsidR="003B2588" w:rsidRPr="001C73B7" w:rsidRDefault="003B2588" w:rsidP="00C4423F">
            <w:pPr>
              <w:jc w:val="center"/>
            </w:pPr>
            <w:r w:rsidRPr="001C73B7">
              <w:t>10</w:t>
            </w:r>
          </w:p>
        </w:tc>
      </w:tr>
      <w:tr w:rsidR="003B2588" w:rsidRPr="001C73B7" w14:paraId="7ADE3A08" w14:textId="77777777" w:rsidTr="00C4423F">
        <w:tc>
          <w:tcPr>
            <w:tcW w:w="705" w:type="dxa"/>
          </w:tcPr>
          <w:p w14:paraId="2F29D9B2" w14:textId="77777777" w:rsidR="003B2588" w:rsidRPr="001C73B7" w:rsidRDefault="003B2588" w:rsidP="00C4423F">
            <w:pPr>
              <w:jc w:val="center"/>
              <w:rPr>
                <w:sz w:val="14"/>
                <w:szCs w:val="14"/>
              </w:rPr>
            </w:pPr>
          </w:p>
          <w:p w14:paraId="73913E21" w14:textId="77777777" w:rsidR="003B2588" w:rsidRPr="001C73B7" w:rsidRDefault="003B2588" w:rsidP="00C4423F">
            <w:pPr>
              <w:jc w:val="center"/>
            </w:pPr>
            <w:r w:rsidRPr="001C73B7">
              <w:t>2</w:t>
            </w:r>
          </w:p>
        </w:tc>
        <w:tc>
          <w:tcPr>
            <w:tcW w:w="6378" w:type="dxa"/>
          </w:tcPr>
          <w:p w14:paraId="2609683C" w14:textId="77777777" w:rsidR="003B2588" w:rsidRPr="001C73B7" w:rsidRDefault="003B2588" w:rsidP="00C4423F">
            <w:pPr>
              <w:jc w:val="both"/>
            </w:pPr>
            <w:r w:rsidRPr="001C73B7">
              <w:t xml:space="preserve">Aquisição câmara </w:t>
            </w:r>
            <w:proofErr w:type="spellStart"/>
            <w:r w:rsidRPr="001C73B7">
              <w:t>Intelbras</w:t>
            </w:r>
            <w:proofErr w:type="spellEnd"/>
            <w:r w:rsidRPr="001C73B7">
              <w:t xml:space="preserve"> VIPC IP 1230 dome, incluindo todos itens necessários para a instalação.</w:t>
            </w:r>
          </w:p>
        </w:tc>
        <w:tc>
          <w:tcPr>
            <w:tcW w:w="992" w:type="dxa"/>
          </w:tcPr>
          <w:p w14:paraId="51F07D2B" w14:textId="77777777" w:rsidR="003B2588" w:rsidRPr="001C73B7" w:rsidRDefault="003B2588" w:rsidP="00C4423F">
            <w:pPr>
              <w:jc w:val="center"/>
              <w:rPr>
                <w:sz w:val="14"/>
                <w:szCs w:val="14"/>
              </w:rPr>
            </w:pPr>
          </w:p>
          <w:p w14:paraId="11FEBD61" w14:textId="77777777" w:rsidR="003B2588" w:rsidRPr="001C73B7" w:rsidRDefault="003B2588" w:rsidP="00C4423F">
            <w:pPr>
              <w:jc w:val="center"/>
            </w:pPr>
            <w:r w:rsidRPr="001C73B7">
              <w:t>UM</w:t>
            </w:r>
          </w:p>
        </w:tc>
        <w:tc>
          <w:tcPr>
            <w:tcW w:w="986" w:type="dxa"/>
          </w:tcPr>
          <w:p w14:paraId="74B3F525" w14:textId="77777777" w:rsidR="003B2588" w:rsidRPr="001C73B7" w:rsidRDefault="003B2588" w:rsidP="00C4423F">
            <w:pPr>
              <w:jc w:val="center"/>
              <w:rPr>
                <w:sz w:val="14"/>
                <w:szCs w:val="14"/>
              </w:rPr>
            </w:pPr>
          </w:p>
          <w:p w14:paraId="36D09483" w14:textId="77777777" w:rsidR="003B2588" w:rsidRPr="001C73B7" w:rsidRDefault="003B2588" w:rsidP="00C4423F">
            <w:pPr>
              <w:jc w:val="center"/>
            </w:pPr>
            <w:r w:rsidRPr="001C73B7">
              <w:t>1</w:t>
            </w:r>
          </w:p>
        </w:tc>
      </w:tr>
      <w:tr w:rsidR="003B2588" w:rsidRPr="001C73B7" w14:paraId="084B44FC" w14:textId="77777777" w:rsidTr="00C4423F">
        <w:trPr>
          <w:trHeight w:val="70"/>
        </w:trPr>
        <w:tc>
          <w:tcPr>
            <w:tcW w:w="705" w:type="dxa"/>
          </w:tcPr>
          <w:p w14:paraId="3A6539F2" w14:textId="77777777" w:rsidR="003B2588" w:rsidRPr="001C73B7" w:rsidRDefault="003B2588" w:rsidP="00C4423F">
            <w:pPr>
              <w:jc w:val="center"/>
            </w:pPr>
            <w:r w:rsidRPr="001C73B7">
              <w:t>3</w:t>
            </w:r>
          </w:p>
        </w:tc>
        <w:tc>
          <w:tcPr>
            <w:tcW w:w="6378" w:type="dxa"/>
          </w:tcPr>
          <w:p w14:paraId="586CC843" w14:textId="77777777" w:rsidR="003B2588" w:rsidRPr="001C73B7" w:rsidRDefault="003B2588" w:rsidP="00C4423F">
            <w:pPr>
              <w:jc w:val="both"/>
            </w:pPr>
            <w:r w:rsidRPr="001C73B7">
              <w:t>Serviço de Mão de Obra.</w:t>
            </w:r>
          </w:p>
        </w:tc>
        <w:tc>
          <w:tcPr>
            <w:tcW w:w="992" w:type="dxa"/>
          </w:tcPr>
          <w:p w14:paraId="604B99E4" w14:textId="77777777" w:rsidR="003B2588" w:rsidRPr="001C73B7" w:rsidRDefault="003B2588" w:rsidP="00C4423F">
            <w:pPr>
              <w:jc w:val="center"/>
            </w:pPr>
            <w:r w:rsidRPr="001C73B7">
              <w:t>SV</w:t>
            </w:r>
          </w:p>
        </w:tc>
        <w:tc>
          <w:tcPr>
            <w:tcW w:w="986" w:type="dxa"/>
          </w:tcPr>
          <w:p w14:paraId="4F5B9AB7" w14:textId="77777777" w:rsidR="003B2588" w:rsidRPr="001C73B7" w:rsidRDefault="003B2588" w:rsidP="00C4423F">
            <w:pPr>
              <w:jc w:val="center"/>
            </w:pPr>
            <w:r w:rsidRPr="001C73B7">
              <w:t>8</w:t>
            </w:r>
          </w:p>
        </w:tc>
      </w:tr>
    </w:tbl>
    <w:p w14:paraId="16B05DAC" w14:textId="77777777" w:rsidR="003B2588" w:rsidRDefault="003B2588" w:rsidP="003B2588">
      <w:pPr>
        <w:pStyle w:val="PargrafodaLista"/>
        <w:numPr>
          <w:ilvl w:val="0"/>
          <w:numId w:val="5"/>
        </w:numPr>
        <w:tabs>
          <w:tab w:val="left" w:pos="426"/>
        </w:tabs>
        <w:spacing w:before="240" w:line="360" w:lineRule="auto"/>
        <w:rPr>
          <w:rFonts w:ascii="Arial" w:hAnsi="Arial" w:cs="Arial"/>
          <w:b/>
        </w:rPr>
      </w:pPr>
      <w:r w:rsidRPr="00E27644">
        <w:rPr>
          <w:rFonts w:ascii="Arial" w:hAnsi="Arial" w:cs="Arial"/>
          <w:b/>
        </w:rPr>
        <w:t>DESCRIÇÃO DA SOLUÇÃO COMO UM TODO</w:t>
      </w:r>
    </w:p>
    <w:p w14:paraId="08890AF8" w14:textId="77777777" w:rsidR="003B2588" w:rsidRDefault="003B2588" w:rsidP="003B2588">
      <w:pPr>
        <w:tabs>
          <w:tab w:val="left" w:pos="1985"/>
        </w:tabs>
        <w:spacing w:after="240" w:line="360" w:lineRule="auto"/>
        <w:jc w:val="both"/>
      </w:pPr>
      <w:r>
        <w:t>É dever da administração pública zelar e proteger os bens público, consequentemente, faz se necessário a contratação de empresa especializada e legalmente autorizada do ramo da segurança eletrônica para que execute o serviço de vigilância e a segurança dos bens patrimoniais e da própria Usina de Britagem.</w:t>
      </w:r>
    </w:p>
    <w:p w14:paraId="49109706" w14:textId="3A64A610" w:rsidR="0030435E" w:rsidRPr="00104E62" w:rsidRDefault="003B2588" w:rsidP="003B2588">
      <w:pPr>
        <w:tabs>
          <w:tab w:val="left" w:pos="1985"/>
        </w:tabs>
        <w:spacing w:after="240" w:line="360" w:lineRule="auto"/>
        <w:jc w:val="both"/>
      </w:pPr>
      <w:r>
        <w:t>Sistema segurança eletrônico eficiente e o monitoramento ininterrupto são indispensáveis para garantir a proteção patrimonial e operacional da Usina de Britagem. Esse serviço visa prevenir furtos, vandalismos e quaisquer outros incidentes que possam comprometer a integridade do local, bem como assegurar a continuidade das atividades do Programa SC Noroeste.</w:t>
      </w:r>
    </w:p>
    <w:p w14:paraId="7762D7E2" w14:textId="52AF5230" w:rsidR="005E67FA" w:rsidRDefault="005E67FA" w:rsidP="005E67FA">
      <w:pPr>
        <w:pStyle w:val="PargrafodaLista"/>
        <w:numPr>
          <w:ilvl w:val="0"/>
          <w:numId w:val="5"/>
        </w:numPr>
        <w:spacing w:line="360" w:lineRule="auto"/>
        <w:rPr>
          <w:rFonts w:ascii="Arial" w:hAnsi="Arial" w:cs="Arial"/>
          <w:b/>
        </w:rPr>
      </w:pPr>
      <w:r w:rsidRPr="000D134D">
        <w:rPr>
          <w:rFonts w:ascii="Arial" w:hAnsi="Arial" w:cs="Arial"/>
          <w:b/>
        </w:rPr>
        <w:t>FUNDAMENTAÇÃO DA CONTRATAÇÃO</w:t>
      </w:r>
    </w:p>
    <w:p w14:paraId="4102D594" w14:textId="77777777" w:rsidR="003B2588" w:rsidRDefault="003B2588" w:rsidP="003B2588">
      <w:pPr>
        <w:tabs>
          <w:tab w:val="left" w:pos="1985"/>
        </w:tabs>
        <w:spacing w:after="240" w:line="360" w:lineRule="auto"/>
        <w:jc w:val="both"/>
      </w:pPr>
      <w:r>
        <w:t>A Usina de Britagem está situada em uma área próxima à rodovia e a uma região de mata fechada. Essa localização aumenta a vulnerabilidade do local, especialmente fora do horário de funcionamento, devido à possibilidade de furtos, invasões e vandalismos. O monitoramento 24 horas é imprescindível para mitigar esses riscos.</w:t>
      </w:r>
    </w:p>
    <w:p w14:paraId="0464A7C9" w14:textId="24C86D7A" w:rsidR="00D95D9B" w:rsidRPr="001A4836" w:rsidRDefault="003B2588" w:rsidP="003B2588">
      <w:pPr>
        <w:tabs>
          <w:tab w:val="left" w:pos="1985"/>
        </w:tabs>
        <w:spacing w:after="240" w:line="360" w:lineRule="auto"/>
        <w:jc w:val="both"/>
      </w:pPr>
      <w:r>
        <w:lastRenderedPageBreak/>
        <w:t>Durante os períodos em que a Usina não está em funcionamento, a ausência de movimentação aumenta o risco de incidentes. A vigilância contínua é necessária para proteger os bens patrimoniais e assegurar a tranquilidade da operação</w:t>
      </w:r>
      <w:r w:rsidR="00D95D9B" w:rsidRPr="00D95D9B">
        <w:t>.</w:t>
      </w:r>
    </w:p>
    <w:p w14:paraId="06F99D79" w14:textId="7725D925" w:rsidR="007F6483" w:rsidRPr="00F565EA" w:rsidRDefault="007F6483" w:rsidP="007F6483">
      <w:pPr>
        <w:pStyle w:val="PargrafodaLista"/>
        <w:numPr>
          <w:ilvl w:val="1"/>
          <w:numId w:val="29"/>
        </w:numPr>
        <w:spacing w:line="360" w:lineRule="auto"/>
        <w:rPr>
          <w:rFonts w:ascii="Arial" w:hAnsi="Arial" w:cs="Arial"/>
          <w:b/>
        </w:rPr>
      </w:pPr>
      <w:r w:rsidRPr="00F565EA">
        <w:rPr>
          <w:rFonts w:ascii="Arial" w:hAnsi="Arial" w:cs="Arial"/>
          <w:b/>
        </w:rPr>
        <w:t>MOTIVAÇÃO</w:t>
      </w:r>
    </w:p>
    <w:p w14:paraId="37EE85BD" w14:textId="30FECB61" w:rsidR="00F565EA" w:rsidRPr="002458A0" w:rsidRDefault="007F6483" w:rsidP="002458A0">
      <w:pPr>
        <w:tabs>
          <w:tab w:val="left" w:pos="1985"/>
        </w:tabs>
        <w:spacing w:line="360" w:lineRule="auto"/>
        <w:ind w:firstLine="709"/>
        <w:jc w:val="both"/>
      </w:pPr>
      <w:r>
        <w:t xml:space="preserve"> </w:t>
      </w:r>
      <w:r w:rsidRPr="002458A0">
        <w:t>Os seguintes fatores motivaram essa contratação:</w:t>
      </w:r>
    </w:p>
    <w:p w14:paraId="589AF471" w14:textId="019F5B08" w:rsidR="007F6483" w:rsidRPr="002458A0" w:rsidRDefault="007F6483" w:rsidP="002458A0">
      <w:pPr>
        <w:pStyle w:val="PargrafodaLista"/>
        <w:numPr>
          <w:ilvl w:val="0"/>
          <w:numId w:val="33"/>
        </w:numPr>
        <w:tabs>
          <w:tab w:val="left" w:pos="1985"/>
        </w:tabs>
        <w:spacing w:line="360" w:lineRule="auto"/>
        <w:jc w:val="both"/>
        <w:rPr>
          <w:rFonts w:ascii="Arial" w:hAnsi="Arial" w:cs="Arial"/>
        </w:rPr>
      </w:pPr>
      <w:r w:rsidRPr="002458A0">
        <w:rPr>
          <w:rFonts w:ascii="Arial" w:hAnsi="Arial" w:cs="Arial"/>
        </w:rPr>
        <w:t>Manter o bom funcionamento dos</w:t>
      </w:r>
      <w:r w:rsidR="003C2F79" w:rsidRPr="002458A0">
        <w:rPr>
          <w:rFonts w:ascii="Arial" w:hAnsi="Arial" w:cs="Arial"/>
        </w:rPr>
        <w:t xml:space="preserve"> serviços</w:t>
      </w:r>
      <w:r w:rsidR="002458A0">
        <w:rPr>
          <w:rFonts w:ascii="Arial" w:hAnsi="Arial" w:cs="Arial"/>
        </w:rPr>
        <w:t>;</w:t>
      </w:r>
    </w:p>
    <w:p w14:paraId="09F3C489" w14:textId="381CAB93" w:rsidR="00F06214" w:rsidRDefault="00F45658" w:rsidP="002458A0">
      <w:pPr>
        <w:pStyle w:val="PargrafodaLista"/>
        <w:numPr>
          <w:ilvl w:val="0"/>
          <w:numId w:val="33"/>
        </w:numPr>
        <w:tabs>
          <w:tab w:val="left" w:pos="1985"/>
        </w:tabs>
        <w:spacing w:line="360" w:lineRule="auto"/>
        <w:jc w:val="both"/>
        <w:rPr>
          <w:rFonts w:ascii="Arial" w:hAnsi="Arial" w:cs="Arial"/>
        </w:rPr>
      </w:pPr>
      <w:r w:rsidRPr="002458A0">
        <w:rPr>
          <w:rFonts w:ascii="Arial" w:hAnsi="Arial" w:cs="Arial"/>
        </w:rPr>
        <w:t>Visa cumprir as obrigações e exigências legais</w:t>
      </w:r>
      <w:r w:rsidR="002458A0">
        <w:rPr>
          <w:rFonts w:ascii="Arial" w:hAnsi="Arial" w:cs="Arial"/>
        </w:rPr>
        <w:t>;</w:t>
      </w:r>
    </w:p>
    <w:p w14:paraId="6E079D6B" w14:textId="77777777" w:rsidR="003B2588" w:rsidRPr="00A158E3" w:rsidRDefault="003B2588" w:rsidP="003B2588">
      <w:pPr>
        <w:pStyle w:val="PargrafodaLista"/>
        <w:numPr>
          <w:ilvl w:val="0"/>
          <w:numId w:val="33"/>
        </w:numPr>
        <w:tabs>
          <w:tab w:val="left" w:pos="1985"/>
        </w:tabs>
        <w:spacing w:line="360" w:lineRule="auto"/>
        <w:jc w:val="both"/>
        <w:rPr>
          <w:rFonts w:ascii="Arial" w:hAnsi="Arial" w:cs="Arial"/>
        </w:rPr>
      </w:pPr>
      <w:r w:rsidRPr="00A158E3">
        <w:rPr>
          <w:rFonts w:ascii="Arial" w:hAnsi="Arial" w:cs="Arial"/>
        </w:rPr>
        <w:t>Preservar o patrimônio público</w:t>
      </w:r>
      <w:r>
        <w:rPr>
          <w:rFonts w:ascii="Arial" w:hAnsi="Arial" w:cs="Arial"/>
        </w:rPr>
        <w:t>.</w:t>
      </w:r>
    </w:p>
    <w:p w14:paraId="2709A6CD" w14:textId="77777777" w:rsidR="003B2588" w:rsidRPr="00A158E3" w:rsidRDefault="003B2588" w:rsidP="003B2588">
      <w:pPr>
        <w:pStyle w:val="PargrafodaLista"/>
        <w:numPr>
          <w:ilvl w:val="0"/>
          <w:numId w:val="33"/>
        </w:numPr>
        <w:tabs>
          <w:tab w:val="left" w:pos="1985"/>
        </w:tabs>
        <w:spacing w:line="360" w:lineRule="auto"/>
        <w:jc w:val="both"/>
        <w:rPr>
          <w:rFonts w:ascii="Arial" w:hAnsi="Arial" w:cs="Arial"/>
        </w:rPr>
      </w:pPr>
      <w:r w:rsidRPr="00A158E3">
        <w:rPr>
          <w:rFonts w:ascii="Arial" w:hAnsi="Arial" w:cs="Arial"/>
        </w:rPr>
        <w:t>Evitar a paralisação das atividades, que impactaria diretamente a continuidade dos serviços prestados aos municípios consorciados.</w:t>
      </w:r>
    </w:p>
    <w:p w14:paraId="21AF66E4" w14:textId="77777777" w:rsidR="002A6BF9" w:rsidRPr="00F565EA" w:rsidRDefault="002A6BF9" w:rsidP="002A6BF9">
      <w:pPr>
        <w:pStyle w:val="PargrafodaLista"/>
        <w:tabs>
          <w:tab w:val="left" w:pos="1985"/>
        </w:tabs>
        <w:spacing w:line="360" w:lineRule="auto"/>
        <w:ind w:left="1500"/>
        <w:jc w:val="both"/>
        <w:rPr>
          <w:rFonts w:ascii="Arial" w:hAnsi="Arial" w:cs="Arial"/>
        </w:rPr>
      </w:pPr>
    </w:p>
    <w:p w14:paraId="0021C2D8" w14:textId="69B8EA3D" w:rsidR="00F565EA" w:rsidRPr="00971F30" w:rsidRDefault="00F565EA" w:rsidP="00971F30">
      <w:pPr>
        <w:pStyle w:val="PargrafodaLista"/>
        <w:numPr>
          <w:ilvl w:val="0"/>
          <w:numId w:val="29"/>
        </w:numPr>
        <w:spacing w:line="360" w:lineRule="auto"/>
        <w:rPr>
          <w:rFonts w:ascii="Arial" w:hAnsi="Arial" w:cs="Arial"/>
          <w:b/>
        </w:rPr>
      </w:pPr>
      <w:r w:rsidRPr="00971F30">
        <w:rPr>
          <w:rFonts w:ascii="Arial" w:hAnsi="Arial" w:cs="Arial"/>
          <w:b/>
        </w:rPr>
        <w:t>FUNDAMENTAÇÃO LEGAL</w:t>
      </w:r>
    </w:p>
    <w:p w14:paraId="0F7CCD26" w14:textId="77777777" w:rsidR="00104E62" w:rsidRDefault="00104E62" w:rsidP="00104E62">
      <w:pPr>
        <w:autoSpaceDE w:val="0"/>
        <w:autoSpaceDN w:val="0"/>
        <w:adjustRightInd w:val="0"/>
        <w:spacing w:after="240" w:line="360" w:lineRule="auto"/>
        <w:jc w:val="both"/>
      </w:pPr>
      <w:r>
        <w:t xml:space="preserve">O objetivo da licitação é contratar a proposta mais vantajosa, primando pelos princípios da legalidade, impessoalidade, igualdade, moralidade e publicidade. </w:t>
      </w:r>
    </w:p>
    <w:p w14:paraId="41D6E6F9" w14:textId="77777777" w:rsidR="00104E62" w:rsidRDefault="00104E62" w:rsidP="00104E62">
      <w:pPr>
        <w:autoSpaceDE w:val="0"/>
        <w:autoSpaceDN w:val="0"/>
        <w:adjustRightInd w:val="0"/>
        <w:spacing w:after="240" w:line="360" w:lineRule="auto"/>
        <w:jc w:val="both"/>
      </w:pPr>
      <w:r>
        <w:t xml:space="preserve">Dessa forma a regra é licitar, entretanto, há aquisições e contratações que possuem caracterizações específicas tornando impossíveis e/ou inviáveis as licitações nos trâmites usuais, frustrando a realização adequada das funções gerenciais. </w:t>
      </w:r>
    </w:p>
    <w:p w14:paraId="6C67B2D3" w14:textId="77777777" w:rsidR="00104E62" w:rsidRDefault="00104E62" w:rsidP="00104E62">
      <w:pPr>
        <w:autoSpaceDE w:val="0"/>
        <w:autoSpaceDN w:val="0"/>
        <w:adjustRightInd w:val="0"/>
        <w:spacing w:after="240" w:line="360" w:lineRule="auto"/>
        <w:jc w:val="both"/>
      </w:pPr>
      <w:r>
        <w:t xml:space="preserve">Na ocorrência de licitações impossíveis e/ou inviáveis, a lei previu exceções à regra, a Dispensa de Licitação e Inexigibilidade de Licitação, encontradas nos </w:t>
      </w:r>
      <w:proofErr w:type="spellStart"/>
      <w:r>
        <w:t>arts</w:t>
      </w:r>
      <w:proofErr w:type="spellEnd"/>
      <w:r>
        <w:t>. 74 e 75 da Lei 14.133/2021, para situações específicas com impossibilidades de competição ou dispensáveis de licitação</w:t>
      </w:r>
    </w:p>
    <w:p w14:paraId="614436B8" w14:textId="77777777" w:rsidR="00104E62" w:rsidRDefault="00104E62" w:rsidP="00104E62">
      <w:pPr>
        <w:autoSpaceDE w:val="0"/>
        <w:autoSpaceDN w:val="0"/>
        <w:adjustRightInd w:val="0"/>
        <w:spacing w:after="240" w:line="360" w:lineRule="auto"/>
        <w:jc w:val="both"/>
      </w:pPr>
      <w:r>
        <w:t>O procedimento licitatório e os atos dele decorrentes deverão seguir as disposições relativas à Dispensa de Licitação, conforme previsto no art. 75, inciso II, da Lei Federal nº 14.133/2021.</w:t>
      </w:r>
    </w:p>
    <w:p w14:paraId="10F42A9B" w14:textId="77777777" w:rsidR="00104E62" w:rsidRPr="00104E62" w:rsidRDefault="00104E62" w:rsidP="00104E62">
      <w:pPr>
        <w:tabs>
          <w:tab w:val="left" w:pos="2340"/>
          <w:tab w:val="left" w:pos="4464"/>
        </w:tabs>
        <w:spacing w:line="240" w:lineRule="auto"/>
        <w:ind w:left="2268"/>
        <w:jc w:val="both"/>
        <w:rPr>
          <w:bCs/>
          <w:sz w:val="18"/>
          <w:szCs w:val="18"/>
        </w:rPr>
      </w:pPr>
      <w:r w:rsidRPr="00104E62">
        <w:rPr>
          <w:bCs/>
          <w:sz w:val="18"/>
          <w:szCs w:val="18"/>
        </w:rPr>
        <w:t>Art. 75. É dispensável a licitação:</w:t>
      </w:r>
    </w:p>
    <w:p w14:paraId="3DD2B0DD" w14:textId="3077D3F4" w:rsidR="002A6BF9" w:rsidRDefault="00104E62" w:rsidP="00104E62">
      <w:pPr>
        <w:tabs>
          <w:tab w:val="left" w:pos="2340"/>
          <w:tab w:val="left" w:pos="4464"/>
        </w:tabs>
        <w:spacing w:line="240" w:lineRule="auto"/>
        <w:ind w:left="2268"/>
        <w:jc w:val="both"/>
        <w:rPr>
          <w:bCs/>
          <w:sz w:val="18"/>
          <w:szCs w:val="18"/>
        </w:rPr>
      </w:pPr>
      <w:r w:rsidRPr="00104E62">
        <w:rPr>
          <w:bCs/>
          <w:sz w:val="18"/>
          <w:szCs w:val="18"/>
        </w:rPr>
        <w:t xml:space="preserve">II - </w:t>
      </w:r>
      <w:proofErr w:type="gramStart"/>
      <w:r w:rsidRPr="00104E62">
        <w:rPr>
          <w:bCs/>
          <w:sz w:val="18"/>
          <w:szCs w:val="18"/>
        </w:rPr>
        <w:t>para</w:t>
      </w:r>
      <w:proofErr w:type="gramEnd"/>
      <w:r w:rsidRPr="00104E62">
        <w:rPr>
          <w:bCs/>
          <w:sz w:val="18"/>
          <w:szCs w:val="18"/>
        </w:rPr>
        <w:t xml:space="preserve"> contratação que envolva valores inferiores a R$ 50.000,00 (cinquenta mil reais), no caso de outros serviços e compras;</w:t>
      </w:r>
    </w:p>
    <w:p w14:paraId="14FBE694" w14:textId="77777777" w:rsidR="00903B78" w:rsidRPr="00903B78" w:rsidRDefault="00903B78" w:rsidP="00903B78">
      <w:pPr>
        <w:tabs>
          <w:tab w:val="left" w:pos="2340"/>
          <w:tab w:val="left" w:pos="4464"/>
        </w:tabs>
        <w:spacing w:line="240" w:lineRule="auto"/>
        <w:ind w:left="2268"/>
        <w:jc w:val="both"/>
        <w:rPr>
          <w:bCs/>
          <w:sz w:val="18"/>
          <w:szCs w:val="18"/>
        </w:rPr>
      </w:pPr>
      <w:r w:rsidRPr="00903B78">
        <w:rPr>
          <w:bCs/>
          <w:sz w:val="18"/>
          <w:szCs w:val="18"/>
        </w:rPr>
        <w:t>[...]</w:t>
      </w:r>
    </w:p>
    <w:p w14:paraId="1EC96714" w14:textId="77777777" w:rsidR="00903B78" w:rsidRPr="00903B78" w:rsidRDefault="00903B78" w:rsidP="00903B78">
      <w:pPr>
        <w:tabs>
          <w:tab w:val="left" w:pos="2340"/>
          <w:tab w:val="left" w:pos="4464"/>
        </w:tabs>
        <w:spacing w:line="240" w:lineRule="auto"/>
        <w:ind w:left="2268"/>
        <w:jc w:val="both"/>
        <w:rPr>
          <w:bCs/>
          <w:sz w:val="18"/>
          <w:szCs w:val="18"/>
        </w:rPr>
      </w:pPr>
      <w:r w:rsidRPr="00903B78">
        <w:rPr>
          <w:bCs/>
          <w:sz w:val="18"/>
          <w:szCs w:val="18"/>
        </w:rPr>
        <w:t>§ 2º Os valores referidos nos incisos I e II do caput deste artigo serão duplicados para</w:t>
      </w:r>
    </w:p>
    <w:p w14:paraId="000AF2C3" w14:textId="2F841D4B" w:rsidR="00903B78" w:rsidRPr="00104E62" w:rsidRDefault="00903B78" w:rsidP="00903B78">
      <w:pPr>
        <w:tabs>
          <w:tab w:val="left" w:pos="2340"/>
          <w:tab w:val="left" w:pos="4464"/>
        </w:tabs>
        <w:spacing w:line="240" w:lineRule="auto"/>
        <w:ind w:left="2268"/>
        <w:jc w:val="both"/>
        <w:rPr>
          <w:bCs/>
          <w:sz w:val="18"/>
          <w:szCs w:val="18"/>
        </w:rPr>
      </w:pPr>
      <w:r w:rsidRPr="00903B78">
        <w:rPr>
          <w:bCs/>
          <w:sz w:val="18"/>
          <w:szCs w:val="18"/>
        </w:rPr>
        <w:t>compras, obras e serviços contratados por consórcio público ou por autarquia ou fundação qualificadas como agências executivas na forma da lei. [...]</w:t>
      </w:r>
    </w:p>
    <w:p w14:paraId="615E1C9A" w14:textId="77777777" w:rsidR="006B49FE" w:rsidRPr="000D134D" w:rsidRDefault="006B49FE" w:rsidP="002A6BF9">
      <w:pPr>
        <w:tabs>
          <w:tab w:val="left" w:pos="1985"/>
        </w:tabs>
        <w:spacing w:line="360" w:lineRule="auto"/>
        <w:ind w:firstLine="709"/>
        <w:jc w:val="both"/>
        <w:rPr>
          <w:b/>
        </w:rPr>
      </w:pPr>
    </w:p>
    <w:p w14:paraId="4105A6DE" w14:textId="4C6A34FB" w:rsidR="005E67FA" w:rsidRDefault="003B2588" w:rsidP="002A6BF9">
      <w:pPr>
        <w:pStyle w:val="PargrafodaLista"/>
        <w:numPr>
          <w:ilvl w:val="0"/>
          <w:numId w:val="29"/>
        </w:numPr>
        <w:rPr>
          <w:rFonts w:ascii="Arial" w:hAnsi="Arial" w:cs="Arial"/>
          <w:b/>
        </w:rPr>
      </w:pPr>
      <w:r>
        <w:rPr>
          <w:rFonts w:ascii="Arial" w:hAnsi="Arial" w:cs="Arial"/>
          <w:b/>
        </w:rPr>
        <w:t xml:space="preserve">PRAZO E VIGÊNCIA </w:t>
      </w:r>
    </w:p>
    <w:p w14:paraId="49F03793" w14:textId="5819787E" w:rsidR="00903B78" w:rsidRDefault="00903B78" w:rsidP="00903B78">
      <w:pPr>
        <w:pStyle w:val="PargrafodaLista"/>
        <w:ind w:left="360"/>
        <w:rPr>
          <w:rFonts w:ascii="Arial" w:hAnsi="Arial" w:cs="Arial"/>
          <w:b/>
        </w:rPr>
      </w:pPr>
    </w:p>
    <w:p w14:paraId="2FA65C56" w14:textId="1A5B3946" w:rsidR="00903B78" w:rsidRPr="00903B78" w:rsidRDefault="00903B78" w:rsidP="00903B78">
      <w:pPr>
        <w:autoSpaceDE w:val="0"/>
        <w:autoSpaceDN w:val="0"/>
        <w:adjustRightInd w:val="0"/>
        <w:spacing w:after="240" w:line="360" w:lineRule="auto"/>
        <w:jc w:val="both"/>
      </w:pPr>
      <w:r w:rsidRPr="00903B78">
        <w:rPr>
          <w:rFonts w:ascii="CIDFont+F1" w:eastAsia="Times New Roman" w:hAnsi="CIDFont+F1" w:cs="Times New Roman"/>
          <w:color w:val="000000"/>
        </w:rPr>
        <w:lastRenderedPageBreak/>
        <w:t xml:space="preserve"> </w:t>
      </w:r>
      <w:r>
        <w:rPr>
          <w:rFonts w:ascii="CIDFont+F1" w:eastAsia="Times New Roman" w:hAnsi="CIDFont+F1" w:cs="Times New Roman"/>
          <w:color w:val="000000"/>
        </w:rPr>
        <w:t xml:space="preserve">O </w:t>
      </w:r>
      <w:r w:rsidRPr="00903B78">
        <w:t xml:space="preserve">contrato resultante deste processo de contratação direta terá vigência de </w:t>
      </w:r>
      <w:r>
        <w:t>1</w:t>
      </w:r>
      <w:r w:rsidR="003B2588">
        <w:t>0</w:t>
      </w:r>
      <w:r>
        <w:t xml:space="preserve"> (</w:t>
      </w:r>
      <w:r w:rsidR="003B2588">
        <w:t>dez</w:t>
      </w:r>
      <w:r w:rsidRPr="00903B78">
        <w:t>) meses, a contar de sua assinatura, podendo ser prorrogada até o limite legal, conforme previsto no art. 106 e 107 da Lei Federal n. 14.133/2021, conforme segue:</w:t>
      </w:r>
    </w:p>
    <w:p w14:paraId="1C31190D" w14:textId="77777777" w:rsidR="00903B78" w:rsidRPr="00903B78" w:rsidRDefault="00903B78" w:rsidP="00903B78">
      <w:pPr>
        <w:tabs>
          <w:tab w:val="left" w:pos="2340"/>
          <w:tab w:val="left" w:pos="4464"/>
        </w:tabs>
        <w:spacing w:line="240" w:lineRule="auto"/>
        <w:ind w:left="2268"/>
        <w:jc w:val="both"/>
        <w:rPr>
          <w:bCs/>
          <w:sz w:val="18"/>
          <w:szCs w:val="18"/>
        </w:rPr>
      </w:pPr>
      <w:r w:rsidRPr="00903B78">
        <w:rPr>
          <w:bCs/>
          <w:sz w:val="18"/>
          <w:szCs w:val="18"/>
        </w:rPr>
        <w:t>Art. 106. A Administração poderá celebrar contratos com prazo de até 5 (cinco) anos nas hipóteses de serviços e fornecimentos contínuos, observadas as seguintes diretrizes: [...]</w:t>
      </w:r>
    </w:p>
    <w:p w14:paraId="643053C3" w14:textId="229AB7FB" w:rsidR="00903B78" w:rsidRPr="00903B78" w:rsidRDefault="00903B78" w:rsidP="00903B78">
      <w:pPr>
        <w:tabs>
          <w:tab w:val="left" w:pos="2340"/>
          <w:tab w:val="left" w:pos="4464"/>
        </w:tabs>
        <w:spacing w:line="240" w:lineRule="auto"/>
        <w:ind w:left="2268"/>
        <w:jc w:val="both"/>
        <w:rPr>
          <w:bCs/>
          <w:sz w:val="18"/>
          <w:szCs w:val="18"/>
        </w:rPr>
      </w:pPr>
      <w:r w:rsidRPr="00903B78">
        <w:rPr>
          <w:bCs/>
          <w:sz w:val="18"/>
          <w:szCs w:val="18"/>
        </w:rPr>
        <w:t>Art. 107. Os contratos de serviços e fornecimentos contínuos poderão ser prorrogados sucessivamente, respeitada a vigência máxima decenal, desde que haja previsão em edital e que autoridade competente ateste que as condições e os preços permanecem vantajosos para a Administração, permitida a negociação com o contratado ou a extinção contratual sem ônus para qualquer das partes.</w:t>
      </w:r>
    </w:p>
    <w:p w14:paraId="7D30EFEC" w14:textId="77777777" w:rsidR="00903B78" w:rsidRDefault="00903B78" w:rsidP="00903B78">
      <w:pPr>
        <w:pStyle w:val="PargrafodaLista"/>
        <w:ind w:left="360"/>
        <w:rPr>
          <w:rFonts w:ascii="Arial" w:hAnsi="Arial" w:cs="Arial"/>
          <w:b/>
        </w:rPr>
      </w:pPr>
    </w:p>
    <w:p w14:paraId="4D48A239" w14:textId="27007872" w:rsidR="00903B78" w:rsidRDefault="00903B78" w:rsidP="002A6BF9">
      <w:pPr>
        <w:pStyle w:val="PargrafodaLista"/>
        <w:numPr>
          <w:ilvl w:val="0"/>
          <w:numId w:val="29"/>
        </w:numPr>
        <w:rPr>
          <w:rFonts w:ascii="Arial" w:hAnsi="Arial" w:cs="Arial"/>
          <w:b/>
        </w:rPr>
      </w:pPr>
      <w:r>
        <w:rPr>
          <w:rFonts w:ascii="Arial" w:hAnsi="Arial" w:cs="Arial"/>
          <w:b/>
        </w:rPr>
        <w:t xml:space="preserve">DOTAÇÃO ORÇAMENTÁRIA </w:t>
      </w:r>
    </w:p>
    <w:p w14:paraId="2F2B1162" w14:textId="77777777" w:rsidR="005A20A2" w:rsidRPr="00104E62" w:rsidRDefault="005A20A2" w:rsidP="00104E62">
      <w:pPr>
        <w:autoSpaceDE w:val="0"/>
        <w:autoSpaceDN w:val="0"/>
        <w:adjustRightInd w:val="0"/>
        <w:spacing w:after="240" w:line="360" w:lineRule="auto"/>
        <w:jc w:val="both"/>
      </w:pPr>
      <w:r w:rsidRPr="00104E62">
        <w:t xml:space="preserve">Prevê </w:t>
      </w:r>
      <w:r w:rsidRPr="00265230">
        <w:t>o art. 72, inciso IV, da Lei Federal n. 14.133/2021 que o dispêndio financeiro resultante da contratação que se pretende realizar deve ser compatível com a previsão de recursos orçamentários da administração</w:t>
      </w:r>
      <w:r w:rsidRPr="00104E62">
        <w:t>:</w:t>
      </w:r>
    </w:p>
    <w:p w14:paraId="2246A2E3" w14:textId="77777777" w:rsidR="005A20A2" w:rsidRPr="00265230" w:rsidRDefault="005A20A2" w:rsidP="005A20A2">
      <w:pPr>
        <w:tabs>
          <w:tab w:val="left" w:pos="2340"/>
          <w:tab w:val="left" w:pos="4464"/>
        </w:tabs>
        <w:spacing w:line="240" w:lineRule="auto"/>
        <w:ind w:left="2268"/>
        <w:jc w:val="both"/>
        <w:rPr>
          <w:bCs/>
          <w:sz w:val="18"/>
          <w:szCs w:val="18"/>
        </w:rPr>
      </w:pPr>
    </w:p>
    <w:p w14:paraId="0AE3A07B" w14:textId="77777777" w:rsidR="005A20A2" w:rsidRPr="00265230" w:rsidRDefault="005A20A2" w:rsidP="005A20A2">
      <w:pPr>
        <w:tabs>
          <w:tab w:val="left" w:pos="2340"/>
          <w:tab w:val="left" w:pos="4464"/>
        </w:tabs>
        <w:spacing w:line="240" w:lineRule="auto"/>
        <w:ind w:left="2268"/>
        <w:jc w:val="both"/>
        <w:rPr>
          <w:bCs/>
          <w:sz w:val="18"/>
          <w:szCs w:val="18"/>
        </w:rPr>
      </w:pPr>
      <w:r w:rsidRPr="00265230">
        <w:rPr>
          <w:bCs/>
          <w:sz w:val="18"/>
          <w:szCs w:val="18"/>
        </w:rPr>
        <w:t>Art. 72. O processo de contratação direta, que compreende os casos de inexigibilidade e de dispensa de licitação, deverá ser instruído com os seguintes documentos: [...]</w:t>
      </w:r>
    </w:p>
    <w:p w14:paraId="59904322" w14:textId="77777777" w:rsidR="005A20A2" w:rsidRPr="00265230" w:rsidRDefault="005A20A2" w:rsidP="005A20A2">
      <w:pPr>
        <w:tabs>
          <w:tab w:val="left" w:pos="2340"/>
          <w:tab w:val="left" w:pos="4464"/>
        </w:tabs>
        <w:spacing w:line="240" w:lineRule="auto"/>
        <w:ind w:left="2268"/>
        <w:jc w:val="both"/>
        <w:rPr>
          <w:bCs/>
          <w:sz w:val="18"/>
          <w:szCs w:val="18"/>
        </w:rPr>
      </w:pPr>
      <w:r w:rsidRPr="00265230">
        <w:rPr>
          <w:bCs/>
          <w:sz w:val="18"/>
          <w:szCs w:val="18"/>
        </w:rPr>
        <w:t xml:space="preserve">IV - </w:t>
      </w:r>
      <w:proofErr w:type="gramStart"/>
      <w:r w:rsidRPr="00265230">
        <w:rPr>
          <w:bCs/>
          <w:sz w:val="18"/>
          <w:szCs w:val="18"/>
        </w:rPr>
        <w:t>demonstração</w:t>
      </w:r>
      <w:proofErr w:type="gramEnd"/>
      <w:r w:rsidRPr="00265230">
        <w:rPr>
          <w:bCs/>
          <w:sz w:val="18"/>
          <w:szCs w:val="18"/>
        </w:rPr>
        <w:t xml:space="preserve"> da compatibilidade da previsão de recursos orçamentários com o compromisso a ser assumido; [...]</w:t>
      </w:r>
    </w:p>
    <w:p w14:paraId="0E6C4EE3" w14:textId="77777777" w:rsidR="005A20A2" w:rsidRPr="00265230" w:rsidRDefault="005A20A2" w:rsidP="005A20A2">
      <w:pPr>
        <w:rPr>
          <w:b/>
        </w:rPr>
      </w:pPr>
    </w:p>
    <w:p w14:paraId="305C4EC2" w14:textId="3655E432" w:rsidR="00104E62" w:rsidRDefault="00104E62" w:rsidP="00104E62">
      <w:pPr>
        <w:autoSpaceDE w:val="0"/>
        <w:autoSpaceDN w:val="0"/>
        <w:adjustRightInd w:val="0"/>
        <w:spacing w:after="240" w:line="360" w:lineRule="auto"/>
        <w:jc w:val="both"/>
      </w:pPr>
      <w:r w:rsidRPr="00763035">
        <w:t>As despesas para a execução do objeto do presente Processo Administrativo Licitatório ocorrerão a conta de dotação específica do orçamento do exercício de 2025.</w:t>
      </w:r>
    </w:p>
    <w:p w14:paraId="2567681A" w14:textId="6568E4B5" w:rsidR="00763035" w:rsidRPr="003B2588" w:rsidRDefault="00763035" w:rsidP="00763035">
      <w:pPr>
        <w:autoSpaceDE w:val="0"/>
        <w:autoSpaceDN w:val="0"/>
        <w:adjustRightInd w:val="0"/>
        <w:spacing w:line="360" w:lineRule="auto"/>
        <w:jc w:val="both"/>
        <w:rPr>
          <w:highlight w:val="yellow"/>
        </w:rPr>
      </w:pPr>
      <w:r w:rsidRPr="00763035">
        <w:t xml:space="preserve">Órgão 01.00 - </w:t>
      </w:r>
      <w:r w:rsidRPr="003B2588">
        <w:rPr>
          <w:highlight w:val="yellow"/>
        </w:rPr>
        <w:t>CONSÓRCIO INTERMUNICIPAL MULTIFINARITÁRIO DA AMNOROESTE</w:t>
      </w:r>
    </w:p>
    <w:p w14:paraId="041AD1CB" w14:textId="275D676C" w:rsidR="00763035" w:rsidRPr="003B2588" w:rsidRDefault="00763035" w:rsidP="00763035">
      <w:pPr>
        <w:autoSpaceDE w:val="0"/>
        <w:autoSpaceDN w:val="0"/>
        <w:adjustRightInd w:val="0"/>
        <w:spacing w:line="360" w:lineRule="auto"/>
        <w:jc w:val="both"/>
        <w:rPr>
          <w:highlight w:val="yellow"/>
        </w:rPr>
      </w:pPr>
      <w:r w:rsidRPr="003B2588">
        <w:rPr>
          <w:highlight w:val="yellow"/>
        </w:rPr>
        <w:t>Unidade:  MANUTENÇÃO DO PROGRAMA LICENCIAMENTO AMBIENTAL– PLA</w:t>
      </w:r>
    </w:p>
    <w:p w14:paraId="6E9D9390" w14:textId="099D936A" w:rsidR="00763035" w:rsidRPr="003B2588" w:rsidRDefault="00763035" w:rsidP="00763035">
      <w:pPr>
        <w:autoSpaceDE w:val="0"/>
        <w:autoSpaceDN w:val="0"/>
        <w:adjustRightInd w:val="0"/>
        <w:spacing w:line="360" w:lineRule="auto"/>
        <w:jc w:val="both"/>
        <w:rPr>
          <w:highlight w:val="yellow"/>
        </w:rPr>
      </w:pPr>
      <w:r w:rsidRPr="003B2588">
        <w:rPr>
          <w:highlight w:val="yellow"/>
        </w:rPr>
        <w:t>Funcional: 18.542.0003.2.003</w:t>
      </w:r>
    </w:p>
    <w:p w14:paraId="7D2CF14B" w14:textId="4555604B" w:rsidR="00763035" w:rsidRPr="003B2588" w:rsidRDefault="00763035" w:rsidP="00763035">
      <w:pPr>
        <w:autoSpaceDE w:val="0"/>
        <w:autoSpaceDN w:val="0"/>
        <w:adjustRightInd w:val="0"/>
        <w:spacing w:line="360" w:lineRule="auto"/>
        <w:jc w:val="both"/>
        <w:rPr>
          <w:highlight w:val="yellow"/>
        </w:rPr>
      </w:pPr>
      <w:r w:rsidRPr="003B2588">
        <w:rPr>
          <w:highlight w:val="yellow"/>
        </w:rPr>
        <w:t>Elemento: 3.3.90.00.00.00.00.00</w:t>
      </w:r>
    </w:p>
    <w:p w14:paraId="775BF0B7" w14:textId="72ED14A7" w:rsidR="00763035" w:rsidRPr="00763035" w:rsidRDefault="00763035" w:rsidP="00763035">
      <w:pPr>
        <w:autoSpaceDE w:val="0"/>
        <w:autoSpaceDN w:val="0"/>
        <w:adjustRightInd w:val="0"/>
        <w:spacing w:after="240" w:line="360" w:lineRule="auto"/>
        <w:jc w:val="both"/>
      </w:pPr>
      <w:r w:rsidRPr="003B2588">
        <w:rPr>
          <w:highlight w:val="yellow"/>
        </w:rPr>
        <w:t>Fonte de Recursos - 1.880.0000.0000</w:t>
      </w:r>
    </w:p>
    <w:p w14:paraId="5A4BFA26" w14:textId="00ECA04D" w:rsidR="005A20A2" w:rsidRPr="00104E62" w:rsidRDefault="00104E62" w:rsidP="00104E62">
      <w:pPr>
        <w:autoSpaceDE w:val="0"/>
        <w:autoSpaceDN w:val="0"/>
        <w:adjustRightInd w:val="0"/>
        <w:spacing w:after="240" w:line="360" w:lineRule="auto"/>
        <w:jc w:val="both"/>
      </w:pPr>
      <w:r w:rsidRPr="00104E62">
        <w:t>Assim, utilizando-se da estimativa do valor da contratação resultante da pesquisa de preços realizada, verifica-se a compatibilidade de valores, conforme saldo atualmente disponível.</w:t>
      </w:r>
    </w:p>
    <w:p w14:paraId="6FDE97AD" w14:textId="53F2E1CB" w:rsidR="006641DE" w:rsidRPr="00265230" w:rsidRDefault="006641DE" w:rsidP="002A6BF9">
      <w:pPr>
        <w:pStyle w:val="PargrafodaLista"/>
        <w:numPr>
          <w:ilvl w:val="0"/>
          <w:numId w:val="29"/>
        </w:numPr>
        <w:autoSpaceDE w:val="0"/>
        <w:autoSpaceDN w:val="0"/>
        <w:adjustRightInd w:val="0"/>
        <w:spacing w:line="360" w:lineRule="auto"/>
        <w:jc w:val="both"/>
        <w:rPr>
          <w:rFonts w:ascii="Arial" w:hAnsi="Arial" w:cs="Arial"/>
          <w:b/>
          <w:bCs/>
        </w:rPr>
      </w:pPr>
      <w:r w:rsidRPr="00265230">
        <w:rPr>
          <w:rFonts w:ascii="Arial" w:hAnsi="Arial" w:cs="Arial"/>
          <w:b/>
          <w:bCs/>
        </w:rPr>
        <w:t xml:space="preserve">JUSTIFICATIVA DA ESCOLHA DO FORNECEDOR </w:t>
      </w:r>
    </w:p>
    <w:p w14:paraId="7134CBA8" w14:textId="77777777" w:rsidR="00104E62" w:rsidRDefault="00104E62" w:rsidP="00104E62">
      <w:pPr>
        <w:autoSpaceDE w:val="0"/>
        <w:autoSpaceDN w:val="0"/>
        <w:adjustRightInd w:val="0"/>
        <w:spacing w:after="240" w:line="360" w:lineRule="auto"/>
        <w:jc w:val="both"/>
      </w:pPr>
      <w:r>
        <w:t>Prevê o art. 72, incisos V a VII, da Lei Federal n. 14.133/2021 que a justificativa de escolha do contratado e de seu preço, assim como a comprovação da habilitação, deverá constar no processo de contratação direta, nos seguintes termos:</w:t>
      </w:r>
    </w:p>
    <w:p w14:paraId="1175DD1A" w14:textId="77777777" w:rsidR="00104E62" w:rsidRPr="00104E62" w:rsidRDefault="00104E62" w:rsidP="00104E62">
      <w:pPr>
        <w:tabs>
          <w:tab w:val="left" w:pos="2340"/>
          <w:tab w:val="left" w:pos="4464"/>
        </w:tabs>
        <w:spacing w:line="240" w:lineRule="auto"/>
        <w:ind w:left="2268"/>
        <w:jc w:val="both"/>
        <w:rPr>
          <w:bCs/>
          <w:sz w:val="18"/>
          <w:szCs w:val="18"/>
        </w:rPr>
      </w:pPr>
      <w:r w:rsidRPr="00104E62">
        <w:rPr>
          <w:bCs/>
          <w:sz w:val="18"/>
          <w:szCs w:val="18"/>
        </w:rPr>
        <w:t xml:space="preserve">Art. 72. O processo de contratação direta, que compreende os casos de inexigibilidade e de dispensa de licitação, deverá ser instruído com os seguintes documentos: [...] </w:t>
      </w:r>
    </w:p>
    <w:p w14:paraId="71AFE5AA" w14:textId="77777777" w:rsidR="00104E62" w:rsidRPr="00104E62" w:rsidRDefault="00104E62" w:rsidP="00104E62">
      <w:pPr>
        <w:tabs>
          <w:tab w:val="left" w:pos="2340"/>
          <w:tab w:val="left" w:pos="4464"/>
        </w:tabs>
        <w:spacing w:line="240" w:lineRule="auto"/>
        <w:ind w:left="2268"/>
        <w:jc w:val="both"/>
        <w:rPr>
          <w:bCs/>
          <w:sz w:val="18"/>
          <w:szCs w:val="18"/>
        </w:rPr>
      </w:pPr>
      <w:r w:rsidRPr="00104E62">
        <w:rPr>
          <w:bCs/>
          <w:sz w:val="18"/>
          <w:szCs w:val="18"/>
        </w:rPr>
        <w:t xml:space="preserve">V - </w:t>
      </w:r>
      <w:proofErr w:type="gramStart"/>
      <w:r w:rsidRPr="00104E62">
        <w:rPr>
          <w:bCs/>
          <w:sz w:val="18"/>
          <w:szCs w:val="18"/>
        </w:rPr>
        <w:t>comprovação</w:t>
      </w:r>
      <w:proofErr w:type="gramEnd"/>
      <w:r w:rsidRPr="00104E62">
        <w:rPr>
          <w:bCs/>
          <w:sz w:val="18"/>
          <w:szCs w:val="18"/>
        </w:rPr>
        <w:t xml:space="preserve"> de que o contratado preenche os requisitos de habilitação e qualificação mínima necessária;</w:t>
      </w:r>
    </w:p>
    <w:p w14:paraId="040AA5F2" w14:textId="77777777" w:rsidR="00104E62" w:rsidRPr="00104E62" w:rsidRDefault="00104E62" w:rsidP="00104E62">
      <w:pPr>
        <w:tabs>
          <w:tab w:val="left" w:pos="2340"/>
          <w:tab w:val="left" w:pos="4464"/>
        </w:tabs>
        <w:spacing w:line="240" w:lineRule="auto"/>
        <w:ind w:left="2268"/>
        <w:jc w:val="both"/>
        <w:rPr>
          <w:bCs/>
          <w:sz w:val="18"/>
          <w:szCs w:val="18"/>
        </w:rPr>
      </w:pPr>
      <w:r w:rsidRPr="00104E62">
        <w:rPr>
          <w:bCs/>
          <w:sz w:val="18"/>
          <w:szCs w:val="18"/>
        </w:rPr>
        <w:t xml:space="preserve">VI - </w:t>
      </w:r>
      <w:proofErr w:type="gramStart"/>
      <w:r w:rsidRPr="00104E62">
        <w:rPr>
          <w:bCs/>
          <w:sz w:val="18"/>
          <w:szCs w:val="18"/>
        </w:rPr>
        <w:t>razão</w:t>
      </w:r>
      <w:proofErr w:type="gramEnd"/>
      <w:r w:rsidRPr="00104E62">
        <w:rPr>
          <w:bCs/>
          <w:sz w:val="18"/>
          <w:szCs w:val="18"/>
        </w:rPr>
        <w:t xml:space="preserve"> da escolha do contratado;</w:t>
      </w:r>
    </w:p>
    <w:p w14:paraId="278CD9B5" w14:textId="77777777" w:rsidR="00104E62" w:rsidRPr="00104E62" w:rsidRDefault="00104E62" w:rsidP="00903B78">
      <w:pPr>
        <w:tabs>
          <w:tab w:val="left" w:pos="2340"/>
          <w:tab w:val="left" w:pos="4464"/>
        </w:tabs>
        <w:spacing w:after="240" w:line="240" w:lineRule="auto"/>
        <w:ind w:left="2268"/>
        <w:jc w:val="both"/>
        <w:rPr>
          <w:bCs/>
          <w:sz w:val="18"/>
          <w:szCs w:val="18"/>
        </w:rPr>
      </w:pPr>
      <w:r w:rsidRPr="00104E62">
        <w:rPr>
          <w:bCs/>
          <w:sz w:val="18"/>
          <w:szCs w:val="18"/>
        </w:rPr>
        <w:lastRenderedPageBreak/>
        <w:t>VII - justificativa de preço; [...]</w:t>
      </w:r>
    </w:p>
    <w:p w14:paraId="6188AF59" w14:textId="77777777" w:rsidR="00104E62" w:rsidRDefault="00104E62" w:rsidP="00104E62">
      <w:pPr>
        <w:autoSpaceDE w:val="0"/>
        <w:autoSpaceDN w:val="0"/>
        <w:adjustRightInd w:val="0"/>
        <w:spacing w:after="240" w:line="360" w:lineRule="auto"/>
        <w:jc w:val="both"/>
      </w:pPr>
      <w:r>
        <w:t>Como regra, a escolha do contratado – e consequentemente do preço a ser contratado e a comprovação de sua habilitação – dar-se-á em momento seguinte ao Termo de Referência, o qual, tratando-se de contratação direta, busca sintetizar as principais informações acerca do objeto a ser contratado e das condições que regerão a futura contratação. Ao contrário do que ocorre em um processo licitatório, não seria cabível expor no Termo de Referência um método objetivo para seleção de fornecer, eis que se estaria a esboçar um processo licitatório, não uma contratação direta.</w:t>
      </w:r>
    </w:p>
    <w:p w14:paraId="53BBC4D2" w14:textId="77777777" w:rsidR="00104E62" w:rsidRDefault="00104E62" w:rsidP="00104E62">
      <w:pPr>
        <w:autoSpaceDE w:val="0"/>
        <w:autoSpaceDN w:val="0"/>
        <w:adjustRightInd w:val="0"/>
        <w:spacing w:after="240" w:line="360" w:lineRule="auto"/>
        <w:jc w:val="both"/>
      </w:pPr>
      <w:r>
        <w:t xml:space="preserve"> Assim, para fins de cumprimento do disposto no art. 72, incisos V a VII, da Lei Federal n. 14.133/2021, a Administração deverá, nesse momento posterior ao Termo de Referência, demonstrar que aquele que pretende contratar preenche todos os requisitos previstos neste Termo de Referência, necessários à execução do objeto, e que seu preço é compatível com o mercado, de modo a garantir a objetividade, isonomia e publicidade necessária a todas as contratações.</w:t>
      </w:r>
    </w:p>
    <w:p w14:paraId="657A7DCF" w14:textId="77777777" w:rsidR="00104E62" w:rsidRDefault="00104E62" w:rsidP="00104E62">
      <w:pPr>
        <w:autoSpaceDE w:val="0"/>
        <w:autoSpaceDN w:val="0"/>
        <w:adjustRightInd w:val="0"/>
        <w:spacing w:after="240" w:line="360" w:lineRule="auto"/>
        <w:jc w:val="both"/>
      </w:pPr>
      <w:r>
        <w:t>Nesse sentido, dispõe Joel de Menezes Niebuhr7:</w:t>
      </w:r>
    </w:p>
    <w:p w14:paraId="27396004" w14:textId="77777777" w:rsidR="00104E62" w:rsidRPr="00104E62" w:rsidRDefault="00104E62" w:rsidP="00104E62">
      <w:pPr>
        <w:tabs>
          <w:tab w:val="left" w:pos="2340"/>
          <w:tab w:val="left" w:pos="4464"/>
        </w:tabs>
        <w:spacing w:after="240" w:line="240" w:lineRule="auto"/>
        <w:ind w:left="2268"/>
        <w:jc w:val="both"/>
        <w:rPr>
          <w:bCs/>
          <w:sz w:val="18"/>
          <w:szCs w:val="18"/>
        </w:rPr>
      </w:pPr>
      <w:r w:rsidRPr="00104E62">
        <w:rPr>
          <w:bCs/>
          <w:sz w:val="18"/>
          <w:szCs w:val="18"/>
        </w:rPr>
        <w:t>[...] depois de definir o objeto e as condições de execução do futuro contrato (inciso I do artigo 72), depois de definir o preço de referência (inciso II do artigo 72) e de realizar as previsões orçamentárias (inciso IV do artigo 72), a Administração Pública deve escolher com quem contratar e justificar a sua opção (inciso VI do artigo 72), o que passa pela apuração da proposta para si mais vantajosa (inciso VII do artigo 72) e pela investigação das qualificações do futuro contratado (inciso V do artigo 72). Nessa fase, ela não precisa tratar todos os possíveis interessados com igualdade, o que seria necessário se ela devesse proceder à licitação pública. Repita-se, nos casos de dispensa e de inexigibilidade são aceitos agravos à isonomia, que cede parcialmente em face da impossibilidade de realizar a licitação pública ou da proteção de outros valores relacionados ao interesse público. Contudo, no mesmo passo, não se quer afirmar que a isonomia é derrogada por completo, porque a Administração Pública não pode fazer valer discriminações desproporcionais e desnecessárias. Portanto, para escolher o contratante, a Administração Pública não é obrigada a tratar todos os possíveis interessados com igualdade, todavia, deve fazê-lo na maior medida possível.</w:t>
      </w:r>
    </w:p>
    <w:p w14:paraId="5F254FEB" w14:textId="77777777" w:rsidR="00104E62" w:rsidRDefault="00104E62" w:rsidP="00104E62">
      <w:pPr>
        <w:autoSpaceDE w:val="0"/>
        <w:autoSpaceDN w:val="0"/>
        <w:adjustRightInd w:val="0"/>
        <w:spacing w:line="360" w:lineRule="auto"/>
        <w:ind w:firstLine="709"/>
        <w:jc w:val="both"/>
      </w:pPr>
    </w:p>
    <w:p w14:paraId="3577DBBD" w14:textId="77777777" w:rsidR="00104E62" w:rsidRDefault="00104E62" w:rsidP="00104E62">
      <w:pPr>
        <w:autoSpaceDE w:val="0"/>
        <w:autoSpaceDN w:val="0"/>
        <w:adjustRightInd w:val="0"/>
        <w:spacing w:after="240" w:line="360" w:lineRule="auto"/>
        <w:jc w:val="both"/>
      </w:pPr>
      <w:r>
        <w:t>E, Juliano Heinen8:</w:t>
      </w:r>
    </w:p>
    <w:p w14:paraId="5235B4AE" w14:textId="77777777" w:rsidR="00104E62" w:rsidRPr="00104E62" w:rsidRDefault="00104E62" w:rsidP="00104E62">
      <w:pPr>
        <w:tabs>
          <w:tab w:val="left" w:pos="2340"/>
          <w:tab w:val="left" w:pos="4464"/>
        </w:tabs>
        <w:spacing w:after="240" w:line="240" w:lineRule="auto"/>
        <w:ind w:left="2268"/>
        <w:jc w:val="both"/>
        <w:rPr>
          <w:bCs/>
          <w:sz w:val="18"/>
          <w:szCs w:val="18"/>
        </w:rPr>
      </w:pPr>
      <w:r w:rsidRPr="00104E62">
        <w:rPr>
          <w:bCs/>
          <w:sz w:val="18"/>
          <w:szCs w:val="18"/>
        </w:rPr>
        <w:t>Trata-se de mais uma providência que, se de um lado melhora o controle das contratações públicas, de outro aumenta significativamente a burocracia. A justificativa objetiva sobre o fornecedor não pode ser levada ao extremo ou tornada absoluta. De outro lado, não se pode admitir que o processo de contratação direta se dê em função de mera indicação de critérios evidentemente subjetivos para a escolha do aludido contratado, sem a necessária justificativa. Há de se ter um equilíbrio aqui.</w:t>
      </w:r>
    </w:p>
    <w:p w14:paraId="1448CFFE" w14:textId="564DBC4F" w:rsidR="00265230" w:rsidRDefault="00104E62" w:rsidP="00104E62">
      <w:pPr>
        <w:autoSpaceDE w:val="0"/>
        <w:autoSpaceDN w:val="0"/>
        <w:adjustRightInd w:val="0"/>
        <w:spacing w:after="240" w:line="360" w:lineRule="auto"/>
        <w:jc w:val="both"/>
      </w:pPr>
      <w:r>
        <w:t xml:space="preserve">Assim, configura-se como suficiente para escolha do fornecedor a demonstração de preenchimento de todos os requisitos previstos neste Termo de Referência, necessários para a execução do objeto, e de compatibilidade do preço contratado com o praticado no mercado </w:t>
      </w:r>
      <w:r>
        <w:lastRenderedPageBreak/>
        <w:t>e com o limite para dispensa por baixo valor</w:t>
      </w:r>
      <w:r w:rsidR="00B555D4">
        <w:t>, sempre considerando a proposta mais vantajosa para a administração prevalecerá.</w:t>
      </w:r>
    </w:p>
    <w:p w14:paraId="07132F25" w14:textId="4024626D" w:rsidR="003D6865" w:rsidRPr="00265230" w:rsidRDefault="003D6865" w:rsidP="002A6BF9">
      <w:pPr>
        <w:pStyle w:val="PargrafodaLista"/>
        <w:numPr>
          <w:ilvl w:val="0"/>
          <w:numId w:val="29"/>
        </w:numPr>
        <w:autoSpaceDE w:val="0"/>
        <w:autoSpaceDN w:val="0"/>
        <w:adjustRightInd w:val="0"/>
        <w:spacing w:line="360" w:lineRule="auto"/>
        <w:jc w:val="both"/>
        <w:rPr>
          <w:rFonts w:ascii="Arial" w:hAnsi="Arial" w:cs="Arial"/>
        </w:rPr>
      </w:pPr>
      <w:r w:rsidRPr="00265230">
        <w:rPr>
          <w:rFonts w:ascii="Arial" w:hAnsi="Arial" w:cs="Arial"/>
          <w:b/>
          <w:bCs/>
        </w:rPr>
        <w:t xml:space="preserve"> HABILITAÇÃO </w:t>
      </w:r>
    </w:p>
    <w:p w14:paraId="5EEE3F46" w14:textId="67C2C4AB" w:rsidR="003D6865" w:rsidRPr="00265230" w:rsidRDefault="003D6865" w:rsidP="00562D1A">
      <w:pPr>
        <w:autoSpaceDE w:val="0"/>
        <w:autoSpaceDN w:val="0"/>
        <w:adjustRightInd w:val="0"/>
        <w:spacing w:after="240" w:line="360" w:lineRule="auto"/>
        <w:ind w:firstLine="709"/>
        <w:jc w:val="both"/>
      </w:pPr>
      <w:r w:rsidRPr="00265230">
        <w:t>Os documentos a serem exigidos, para fins de habilitação, deverão ser enviados juntamente com o cadastro da proposta inicial</w:t>
      </w:r>
      <w:r w:rsidR="00AB0F82" w:rsidRPr="00265230">
        <w:t>.</w:t>
      </w:r>
    </w:p>
    <w:p w14:paraId="093EF54F" w14:textId="4BC93B3D" w:rsidR="00DF5A61"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 xml:space="preserve">Certidão Negativa Municipal </w:t>
      </w:r>
      <w:r w:rsidR="00DF5A61" w:rsidRPr="00265230">
        <w:rPr>
          <w:rFonts w:ascii="Arial" w:hAnsi="Arial" w:cs="Arial"/>
        </w:rPr>
        <w:t xml:space="preserve">da </w:t>
      </w:r>
      <w:r w:rsidRPr="00265230">
        <w:rPr>
          <w:rFonts w:ascii="Arial" w:hAnsi="Arial" w:cs="Arial"/>
        </w:rPr>
        <w:t>sede do fornecedor, relativa à atividade em cujo exercício contrata</w:t>
      </w:r>
      <w:r w:rsidR="00DF5A61" w:rsidRPr="00265230">
        <w:rPr>
          <w:rFonts w:ascii="Arial" w:hAnsi="Arial" w:cs="Arial"/>
        </w:rPr>
        <w:t>;</w:t>
      </w:r>
    </w:p>
    <w:p w14:paraId="3EDF0122" w14:textId="31118C45"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 xml:space="preserve"> Certidão Negativa Estadual; </w:t>
      </w:r>
    </w:p>
    <w:p w14:paraId="0C3B5BEF" w14:textId="77777777"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Certidão Negativa Federal;</w:t>
      </w:r>
    </w:p>
    <w:p w14:paraId="5C42867C" w14:textId="77777777"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 xml:space="preserve">Certidão Negativa Trabalhista; </w:t>
      </w:r>
    </w:p>
    <w:p w14:paraId="7F2E38C1" w14:textId="33B4CCF0"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 xml:space="preserve">Certificado de Regularidade com o Fundo de Garantia do Tempo de Serviço FGTS;  </w:t>
      </w:r>
    </w:p>
    <w:p w14:paraId="2B445207" w14:textId="77777777"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Certidão de Recuperação Judicial, Extrajudicial e Falência;</w:t>
      </w:r>
    </w:p>
    <w:p w14:paraId="06045F09" w14:textId="4DA4DC89"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Certidão Consolidada de Pessoa Jurídica - TCU;</w:t>
      </w:r>
    </w:p>
    <w:p w14:paraId="1E1E40AD" w14:textId="283A9370" w:rsidR="003D6865" w:rsidRPr="00265230" w:rsidRDefault="003D6865" w:rsidP="00DF5A61">
      <w:pPr>
        <w:pStyle w:val="PargrafodaLista"/>
        <w:numPr>
          <w:ilvl w:val="1"/>
          <w:numId w:val="8"/>
        </w:numPr>
        <w:autoSpaceDE w:val="0"/>
        <w:autoSpaceDN w:val="0"/>
        <w:adjustRightInd w:val="0"/>
        <w:spacing w:line="360" w:lineRule="auto"/>
        <w:jc w:val="both"/>
        <w:rPr>
          <w:rFonts w:ascii="Arial" w:hAnsi="Arial" w:cs="Arial"/>
        </w:rPr>
      </w:pPr>
      <w:r w:rsidRPr="00265230">
        <w:rPr>
          <w:rFonts w:ascii="Arial" w:hAnsi="Arial" w:cs="Arial"/>
        </w:rPr>
        <w:t xml:space="preserve">Prova de inscrição no Cadastro Nacional de Pessoas Jurídicas ou no Cadastro de Pessoas Físicas, conforme o caso; </w:t>
      </w:r>
    </w:p>
    <w:p w14:paraId="7A77A39E" w14:textId="4238BC55" w:rsidR="003D6865" w:rsidRPr="00265230" w:rsidRDefault="003D6865" w:rsidP="00DF5A61">
      <w:pPr>
        <w:pStyle w:val="PargrafodaLista"/>
        <w:autoSpaceDE w:val="0"/>
        <w:autoSpaceDN w:val="0"/>
        <w:adjustRightInd w:val="0"/>
        <w:spacing w:line="360" w:lineRule="auto"/>
        <w:ind w:firstLine="45"/>
        <w:jc w:val="both"/>
        <w:rPr>
          <w:rFonts w:ascii="Arial" w:hAnsi="Arial" w:cs="Arial"/>
        </w:rPr>
      </w:pPr>
    </w:p>
    <w:p w14:paraId="5E35BFC2" w14:textId="097498F4" w:rsidR="0026034B" w:rsidRPr="00265230" w:rsidRDefault="0026034B" w:rsidP="002A6BF9">
      <w:pPr>
        <w:pStyle w:val="PargrafodaLista"/>
        <w:numPr>
          <w:ilvl w:val="0"/>
          <w:numId w:val="29"/>
        </w:numPr>
        <w:tabs>
          <w:tab w:val="left" w:pos="2340"/>
          <w:tab w:val="left" w:pos="4464"/>
        </w:tabs>
        <w:spacing w:line="360" w:lineRule="auto"/>
        <w:jc w:val="both"/>
        <w:rPr>
          <w:rFonts w:ascii="Arial" w:hAnsi="Arial" w:cs="Arial"/>
          <w:b/>
          <w:bCs/>
        </w:rPr>
      </w:pPr>
      <w:r w:rsidRPr="00265230">
        <w:rPr>
          <w:rFonts w:ascii="Arial" w:hAnsi="Arial" w:cs="Arial"/>
          <w:b/>
          <w:bCs/>
        </w:rPr>
        <w:t>MÉTODOS E ESTRATÉGIAS DE SUPRIMENTO</w:t>
      </w:r>
    </w:p>
    <w:p w14:paraId="7487C4A5" w14:textId="77777777" w:rsidR="00104E62" w:rsidRDefault="00104E62" w:rsidP="00104E62">
      <w:pPr>
        <w:autoSpaceDE w:val="0"/>
        <w:autoSpaceDN w:val="0"/>
        <w:adjustRightInd w:val="0"/>
        <w:spacing w:after="240" w:line="360" w:lineRule="auto"/>
        <w:jc w:val="both"/>
      </w:pPr>
      <w:r>
        <w:t>O objeto do presente termo de referência será recebido em remessa única.</w:t>
      </w:r>
    </w:p>
    <w:p w14:paraId="178FE7A1" w14:textId="77777777" w:rsidR="00104E62" w:rsidRDefault="00104E62" w:rsidP="00104E62">
      <w:pPr>
        <w:autoSpaceDE w:val="0"/>
        <w:autoSpaceDN w:val="0"/>
        <w:adjustRightInd w:val="0"/>
        <w:spacing w:after="240" w:line="360" w:lineRule="auto"/>
        <w:jc w:val="both"/>
      </w:pPr>
      <w:r>
        <w:t xml:space="preserve">O não cumprimento dos prazos de entrega do objeto acarretará a anulação do empenho bem como a aplicação das penalidades. </w:t>
      </w:r>
    </w:p>
    <w:p w14:paraId="162A2016" w14:textId="541D6CCD" w:rsidR="0026034B" w:rsidRPr="00265230" w:rsidRDefault="00104E62" w:rsidP="00104E62">
      <w:pPr>
        <w:autoSpaceDE w:val="0"/>
        <w:autoSpaceDN w:val="0"/>
        <w:adjustRightInd w:val="0"/>
        <w:spacing w:after="240" w:line="360" w:lineRule="auto"/>
        <w:jc w:val="both"/>
      </w:pPr>
      <w:r>
        <w:t>A administração rejeitará, no todo ou em parte, o fornecimento executado em desacordo com os termos do processo licitatório de dispensa de licitação e seus anexos, notificando imediatamente a empresa e abrindo prazo para correção do problema, sob pena de ser encaminhado o processo para apuração de responsabilidades e aplicação de sanções.</w:t>
      </w:r>
    </w:p>
    <w:p w14:paraId="2F703C4B" w14:textId="16053691" w:rsidR="0026034B" w:rsidRPr="00265230" w:rsidRDefault="0026034B" w:rsidP="002A6BF9">
      <w:pPr>
        <w:pStyle w:val="PargrafodaLista"/>
        <w:numPr>
          <w:ilvl w:val="0"/>
          <w:numId w:val="29"/>
        </w:numPr>
        <w:tabs>
          <w:tab w:val="left" w:pos="2340"/>
          <w:tab w:val="left" w:pos="4464"/>
        </w:tabs>
        <w:spacing w:line="360" w:lineRule="auto"/>
        <w:jc w:val="both"/>
        <w:rPr>
          <w:rFonts w:ascii="Arial" w:hAnsi="Arial" w:cs="Arial"/>
          <w:b/>
          <w:bCs/>
        </w:rPr>
      </w:pPr>
      <w:r w:rsidRPr="00265230">
        <w:rPr>
          <w:rFonts w:ascii="Arial" w:hAnsi="Arial" w:cs="Arial"/>
          <w:b/>
          <w:bCs/>
        </w:rPr>
        <w:t xml:space="preserve">VALOR ESTIMADO </w:t>
      </w:r>
    </w:p>
    <w:p w14:paraId="4F1D8996" w14:textId="0F7E3368" w:rsidR="00A66204" w:rsidRPr="00E53786" w:rsidRDefault="00107215" w:rsidP="00E53786">
      <w:pPr>
        <w:autoSpaceDE w:val="0"/>
        <w:autoSpaceDN w:val="0"/>
        <w:adjustRightInd w:val="0"/>
        <w:spacing w:after="240" w:line="360" w:lineRule="auto"/>
        <w:jc w:val="both"/>
      </w:pPr>
      <w:r w:rsidRPr="00265230">
        <w:t>Esti</w:t>
      </w:r>
      <w:r w:rsidRPr="00BF4E4F">
        <w:t xml:space="preserve">mado da contratação do </w:t>
      </w:r>
      <w:r w:rsidRPr="003B2588">
        <w:rPr>
          <w:highlight w:val="yellow"/>
        </w:rPr>
        <w:t xml:space="preserve">objeto é de </w:t>
      </w:r>
      <w:r w:rsidR="003E6793" w:rsidRPr="003B2588">
        <w:rPr>
          <w:highlight w:val="yellow"/>
        </w:rPr>
        <w:t xml:space="preserve">R$ </w:t>
      </w:r>
      <w:r w:rsidR="00BF4E4F" w:rsidRPr="003B2588">
        <w:rPr>
          <w:highlight w:val="yellow"/>
        </w:rPr>
        <w:t>14.300,00</w:t>
      </w:r>
      <w:r w:rsidR="003E6793" w:rsidRPr="003B2588">
        <w:rPr>
          <w:highlight w:val="yellow"/>
        </w:rPr>
        <w:t xml:space="preserve"> </w:t>
      </w:r>
      <w:r w:rsidR="001A4836" w:rsidRPr="003B2588">
        <w:rPr>
          <w:highlight w:val="yellow"/>
        </w:rPr>
        <w:t>(</w:t>
      </w:r>
      <w:r w:rsidR="00BF4E4F" w:rsidRPr="003B2588">
        <w:rPr>
          <w:highlight w:val="yellow"/>
        </w:rPr>
        <w:t>catorze mil e trezentos reais</w:t>
      </w:r>
      <w:r w:rsidR="003E6793" w:rsidRPr="003B2588">
        <w:rPr>
          <w:highlight w:val="yellow"/>
        </w:rPr>
        <w:t>)</w:t>
      </w:r>
      <w:r w:rsidR="002A6BF9" w:rsidRPr="003B2588">
        <w:rPr>
          <w:highlight w:val="yellow"/>
        </w:rPr>
        <w:t>,</w:t>
      </w:r>
      <w:r w:rsidRPr="00BF4E4F">
        <w:t xml:space="preserve"> inferior, portanto, ao limite traçado pelo legislador para a</w:t>
      </w:r>
      <w:r w:rsidRPr="00265230">
        <w:t xml:space="preserve"> vantajosidade do custo-benefício da realização de licitação, razão pela qual, estando autorizado para tal, realizar-se-á a contratação direta pela dispensa de licitação prevista no art. 75, inciso </w:t>
      </w:r>
      <w:r w:rsidR="00785EED">
        <w:t>I</w:t>
      </w:r>
      <w:r w:rsidRPr="00265230">
        <w:t>I, da Lei Federal n. 14.133/2021</w:t>
      </w:r>
      <w:r w:rsidR="0028796F" w:rsidRPr="00265230">
        <w:t>.</w:t>
      </w:r>
    </w:p>
    <w:p w14:paraId="6F09951D" w14:textId="7135C825" w:rsidR="00A66204" w:rsidRPr="00265230" w:rsidRDefault="00A66204" w:rsidP="002A6BF9">
      <w:pPr>
        <w:pStyle w:val="PargrafodaLista"/>
        <w:numPr>
          <w:ilvl w:val="0"/>
          <w:numId w:val="29"/>
        </w:numPr>
        <w:tabs>
          <w:tab w:val="left" w:pos="2340"/>
          <w:tab w:val="left" w:pos="4464"/>
        </w:tabs>
        <w:spacing w:line="360" w:lineRule="auto"/>
        <w:jc w:val="both"/>
        <w:rPr>
          <w:rFonts w:ascii="Arial" w:hAnsi="Arial" w:cs="Arial"/>
          <w:b/>
          <w:bCs/>
        </w:rPr>
      </w:pPr>
      <w:r w:rsidRPr="00265230">
        <w:rPr>
          <w:rFonts w:ascii="Arial" w:hAnsi="Arial" w:cs="Arial"/>
          <w:b/>
          <w:bCs/>
        </w:rPr>
        <w:lastRenderedPageBreak/>
        <w:t>MODELO DE GESTÃO DO CONTRATO</w:t>
      </w:r>
    </w:p>
    <w:p w14:paraId="6E7D8B4E" w14:textId="77777777" w:rsidR="00A66204" w:rsidRPr="00265230" w:rsidRDefault="00A66204" w:rsidP="00E53786">
      <w:pPr>
        <w:autoSpaceDE w:val="0"/>
        <w:autoSpaceDN w:val="0"/>
        <w:adjustRightInd w:val="0"/>
        <w:spacing w:after="240" w:line="360" w:lineRule="auto"/>
        <w:jc w:val="both"/>
      </w:pPr>
      <w:r w:rsidRPr="00265230">
        <w:t xml:space="preserve">Em conformidade com o art. 117 da Lei Federal n. 14.133/2021, deverá ser designado fiscal de contrato e representante da administração pública para acompanhamento e fiscalização da execução dos contratos celebrados, conforme requisitos estabelecidos no art. 7º do referido diploma legal. </w:t>
      </w:r>
    </w:p>
    <w:p w14:paraId="61562C77" w14:textId="77777777" w:rsidR="00A66204" w:rsidRPr="00E53786" w:rsidRDefault="00A66204" w:rsidP="00E53786">
      <w:pPr>
        <w:autoSpaceDE w:val="0"/>
        <w:autoSpaceDN w:val="0"/>
        <w:adjustRightInd w:val="0"/>
        <w:spacing w:after="240" w:line="360" w:lineRule="auto"/>
        <w:jc w:val="both"/>
      </w:pPr>
      <w:r w:rsidRPr="00E53786">
        <w:t>Nos termos do art. 140 da Lei Federal n. 14.133/2021, o objeto do contrato será recebido</w:t>
      </w:r>
      <w:bookmarkStart w:id="2" w:name="art140i"/>
      <w:bookmarkEnd w:id="2"/>
      <w:r w:rsidRPr="00E53786">
        <w:t>, provisoriamente, pelo responsável por seu acompanhamento e fiscalização, verificando se a publicação cumpriu as exigências de caráter técnico descritas neste Termo de Referência; e</w:t>
      </w:r>
      <w:bookmarkStart w:id="3" w:name="art140ib"/>
      <w:bookmarkEnd w:id="3"/>
      <w:r w:rsidRPr="00E53786">
        <w:t>, definitivamente, por servidor ou comissão designada pela autoridade competente, mediante verificação de atendimento das exigências contratuais.</w:t>
      </w:r>
    </w:p>
    <w:p w14:paraId="41F4B842" w14:textId="2EB83939" w:rsidR="00A66204" w:rsidRPr="00265230" w:rsidRDefault="00A66204" w:rsidP="00E53786">
      <w:pPr>
        <w:autoSpaceDE w:val="0"/>
        <w:autoSpaceDN w:val="0"/>
        <w:adjustRightInd w:val="0"/>
        <w:spacing w:after="240" w:line="360" w:lineRule="auto"/>
        <w:jc w:val="both"/>
      </w:pPr>
      <w:r w:rsidRPr="00265230">
        <w:t xml:space="preserve">Durante a execução do objeto do contrato fica reservado ao </w:t>
      </w:r>
      <w:r w:rsidR="00F318C9" w:rsidRPr="00265230">
        <w:t>consórcio</w:t>
      </w:r>
      <w:r w:rsidRPr="00265230">
        <w:t xml:space="preserve"> autonomia para dirimir e decidir todos e quaisquer casos ou dúvidas que venham a surgir e/ou fugir da rotina, ou que não tenham sido previstos no Termo de Referência, ou, ainda, nas disposições do Contrato.</w:t>
      </w:r>
    </w:p>
    <w:p w14:paraId="644D8C73" w14:textId="77777777" w:rsidR="00A66204" w:rsidRPr="00265230" w:rsidRDefault="00A66204" w:rsidP="00E53786">
      <w:pPr>
        <w:autoSpaceDE w:val="0"/>
        <w:autoSpaceDN w:val="0"/>
        <w:adjustRightInd w:val="0"/>
        <w:spacing w:after="240" w:line="360" w:lineRule="auto"/>
        <w:jc w:val="both"/>
      </w:pPr>
      <w:r w:rsidRPr="00265230">
        <w:t xml:space="preserve">O consórcio efetuará a fiscalização e o acompanhamento da execução do objeto do contrato, podendo, a qualquer tempo, exigir que forneça os elementos necessários ao esclarecimento de quaisquer dúvidas relativas ao contrato. A fiscalização efetuada não exclui nem reduz as responsabilidades da contratada perante o contratante e/ou terceiros. </w:t>
      </w:r>
    </w:p>
    <w:p w14:paraId="0E11F4C4" w14:textId="77777777" w:rsidR="00A66204" w:rsidRPr="00265230" w:rsidRDefault="00A66204" w:rsidP="00E53786">
      <w:pPr>
        <w:autoSpaceDE w:val="0"/>
        <w:autoSpaceDN w:val="0"/>
        <w:adjustRightInd w:val="0"/>
        <w:spacing w:after="240" w:line="360" w:lineRule="auto"/>
        <w:jc w:val="both"/>
      </w:pPr>
      <w:r w:rsidRPr="00265230">
        <w:t>A contratada deverá acatar a fiscalização do consórcio quanto ao acompanhamento do cumprimento das obrigações pactuadas, prestando-lhe todos os esclarecimentos solicitados, bem como atendendo a todas às solicitações de informações.</w:t>
      </w:r>
    </w:p>
    <w:p w14:paraId="61E7C6A3" w14:textId="77777777" w:rsidR="00A66204" w:rsidRPr="00265230" w:rsidRDefault="00A66204" w:rsidP="00E53786">
      <w:pPr>
        <w:autoSpaceDE w:val="0"/>
        <w:autoSpaceDN w:val="0"/>
        <w:adjustRightInd w:val="0"/>
        <w:spacing w:after="240" w:line="360" w:lineRule="auto"/>
        <w:jc w:val="both"/>
      </w:pPr>
      <w:r w:rsidRPr="00265230">
        <w:t>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p>
    <w:p w14:paraId="13BC4757" w14:textId="77777777" w:rsidR="00A66204" w:rsidRPr="00265230" w:rsidRDefault="00A66204" w:rsidP="00E53786">
      <w:pPr>
        <w:autoSpaceDE w:val="0"/>
        <w:autoSpaceDN w:val="0"/>
        <w:adjustRightInd w:val="0"/>
        <w:spacing w:after="240" w:line="360" w:lineRule="auto"/>
        <w:jc w:val="both"/>
      </w:pPr>
      <w:r w:rsidRPr="00265230">
        <w:t>O instrumento de contrato poderá ser substituído por outro instrumento hábil, como carta contrato, nota de empenho de despesa, autorização de compra ou ordem de execução de serviço, nos casos de (I) dispensa de licitação em razão de valor, bem como, em (II) compras com entrega imediata e integral dos bens adquiridos e dos quais não resultem obrigações futuras, inclusive quanto a assistência técnica, independentemente de seu valor, nos termos do art. 95 da Lei 14.133/2021.</w:t>
      </w:r>
    </w:p>
    <w:p w14:paraId="504401A1" w14:textId="1138BDB2" w:rsidR="0026034B" w:rsidRPr="000E68DC" w:rsidRDefault="0026034B" w:rsidP="003E6793">
      <w:pPr>
        <w:pStyle w:val="PargrafodaLista"/>
        <w:numPr>
          <w:ilvl w:val="0"/>
          <w:numId w:val="29"/>
        </w:numPr>
        <w:spacing w:line="360" w:lineRule="auto"/>
        <w:rPr>
          <w:rFonts w:ascii="Arial" w:hAnsi="Arial" w:cs="Arial"/>
          <w:b/>
        </w:rPr>
      </w:pPr>
      <w:r w:rsidRPr="000E68DC">
        <w:rPr>
          <w:rFonts w:ascii="Arial" w:hAnsi="Arial" w:cs="Arial"/>
          <w:b/>
        </w:rPr>
        <w:t>OBRIGAÇÕES DA CONTRATADA</w:t>
      </w:r>
    </w:p>
    <w:p w14:paraId="5BFF663D" w14:textId="77777777" w:rsidR="0026034B" w:rsidRPr="00265230" w:rsidRDefault="0026034B" w:rsidP="00E53786">
      <w:pPr>
        <w:autoSpaceDE w:val="0"/>
        <w:autoSpaceDN w:val="0"/>
        <w:adjustRightInd w:val="0"/>
        <w:spacing w:after="240" w:line="360" w:lineRule="auto"/>
        <w:jc w:val="both"/>
      </w:pPr>
      <w:r w:rsidRPr="00265230">
        <w:lastRenderedPageBreak/>
        <w:t>A Contratada obriga-se a:</w:t>
      </w:r>
    </w:p>
    <w:p w14:paraId="3B97AD35" w14:textId="77777777" w:rsidR="0028796F" w:rsidRPr="00265230" w:rsidRDefault="0028796F" w:rsidP="00E53786">
      <w:pPr>
        <w:autoSpaceDE w:val="0"/>
        <w:autoSpaceDN w:val="0"/>
        <w:adjustRightInd w:val="0"/>
        <w:spacing w:after="240" w:line="360" w:lineRule="auto"/>
        <w:jc w:val="both"/>
      </w:pPr>
      <w:r w:rsidRPr="00265230">
        <w:t>Efetuar a entrega dos bens em perfeitas condições, no prazo e local indicados pela Administração, em estrita observância das especificações da proposta, acompanhado da respectiva nota fiscal constando detalhadamente as indicações da marca, fabricante, modelo, tipo, procedência e prazo de garantia;</w:t>
      </w:r>
    </w:p>
    <w:p w14:paraId="396AAC1D" w14:textId="24CF3101" w:rsidR="0028796F" w:rsidRPr="00265230" w:rsidRDefault="0026034B" w:rsidP="00E53786">
      <w:pPr>
        <w:autoSpaceDE w:val="0"/>
        <w:autoSpaceDN w:val="0"/>
        <w:adjustRightInd w:val="0"/>
        <w:spacing w:after="240" w:line="360" w:lineRule="auto"/>
        <w:jc w:val="both"/>
      </w:pPr>
      <w:r w:rsidRPr="00265230">
        <w:t>Atender prontamente a quaisquer exigências da Administração, inerentes ao objeto da presente licitação;</w:t>
      </w:r>
    </w:p>
    <w:p w14:paraId="6D0B8796" w14:textId="77777777" w:rsidR="0028796F" w:rsidRPr="00265230" w:rsidRDefault="0026034B" w:rsidP="00E53786">
      <w:pPr>
        <w:autoSpaceDE w:val="0"/>
        <w:autoSpaceDN w:val="0"/>
        <w:adjustRightInd w:val="0"/>
        <w:spacing w:after="240" w:line="360" w:lineRule="auto"/>
        <w:jc w:val="both"/>
      </w:pPr>
      <w:r w:rsidRPr="00265230">
        <w:t>Comunicar à Administração, no prazo máximo de 24 (vinte e quatro) horas que antecede a data da entrega, os motivos que impossibilitem o cumprimento do prazo previsto, com a devida comprovação;</w:t>
      </w:r>
    </w:p>
    <w:p w14:paraId="4B051C60" w14:textId="77777777" w:rsidR="0028796F" w:rsidRPr="00265230" w:rsidRDefault="0026034B" w:rsidP="00E53786">
      <w:pPr>
        <w:autoSpaceDE w:val="0"/>
        <w:autoSpaceDN w:val="0"/>
        <w:adjustRightInd w:val="0"/>
        <w:spacing w:after="240" w:line="360" w:lineRule="auto"/>
        <w:jc w:val="both"/>
      </w:pPr>
      <w:r w:rsidRPr="00265230">
        <w:t>Manter, durante toda a execução do contrato, em compatibilidade com as obrigações assumidas, todas as condições de habilitação e qualificação exigidas na licitação, conforme estabelece o inciso XVI do art. 92 da Lei Federal n. 14.133</w:t>
      </w:r>
      <w:r w:rsidR="004F20CE" w:rsidRPr="00265230">
        <w:t>/</w:t>
      </w:r>
      <w:r w:rsidRPr="00265230">
        <w:t>2021.</w:t>
      </w:r>
    </w:p>
    <w:p w14:paraId="1A7C2E30" w14:textId="110A1AF9" w:rsidR="0026034B" w:rsidRDefault="0026034B" w:rsidP="00E53786">
      <w:pPr>
        <w:autoSpaceDE w:val="0"/>
        <w:autoSpaceDN w:val="0"/>
        <w:adjustRightInd w:val="0"/>
        <w:spacing w:after="240" w:line="360" w:lineRule="auto"/>
        <w:jc w:val="both"/>
      </w:pPr>
      <w:r w:rsidRPr="00265230">
        <w:t>Responsabilizar-se pelas despesas dos tributos, encargos trabalhistas, previdenciários, fiscais, comerciais, taxas, fretes, seguros, deslocamento de pessoal, prestação de garantia e quaisquer outras que incidam ou venham a incidir na execução do contrato.</w:t>
      </w:r>
    </w:p>
    <w:p w14:paraId="33BA3205" w14:textId="416C7466" w:rsidR="0026034B" w:rsidRPr="00265230" w:rsidRDefault="0026034B" w:rsidP="003E6793">
      <w:pPr>
        <w:pStyle w:val="PargrafodaLista"/>
        <w:numPr>
          <w:ilvl w:val="0"/>
          <w:numId w:val="29"/>
        </w:numPr>
        <w:spacing w:line="360" w:lineRule="auto"/>
        <w:rPr>
          <w:rFonts w:ascii="Arial" w:hAnsi="Arial" w:cs="Arial"/>
          <w:b/>
        </w:rPr>
      </w:pPr>
      <w:r w:rsidRPr="00265230">
        <w:rPr>
          <w:rFonts w:ascii="Arial" w:hAnsi="Arial" w:cs="Arial"/>
          <w:b/>
        </w:rPr>
        <w:t>OBRIGAÇÕES DA CONTRATANTE</w:t>
      </w:r>
    </w:p>
    <w:p w14:paraId="6037A265" w14:textId="77777777" w:rsidR="0028796F" w:rsidRPr="00265230" w:rsidRDefault="0026034B" w:rsidP="00E53786">
      <w:pPr>
        <w:autoSpaceDE w:val="0"/>
        <w:autoSpaceDN w:val="0"/>
        <w:adjustRightInd w:val="0"/>
        <w:spacing w:after="240" w:line="360" w:lineRule="auto"/>
        <w:jc w:val="both"/>
      </w:pPr>
      <w:r w:rsidRPr="00265230">
        <w:t>A Contratante obriga-se a:</w:t>
      </w:r>
    </w:p>
    <w:p w14:paraId="3CB49AA8" w14:textId="779DF5DF" w:rsidR="0028796F" w:rsidRPr="00265230" w:rsidRDefault="0028796F" w:rsidP="00E53786">
      <w:pPr>
        <w:autoSpaceDE w:val="0"/>
        <w:autoSpaceDN w:val="0"/>
        <w:adjustRightInd w:val="0"/>
        <w:spacing w:after="240" w:line="360" w:lineRule="auto"/>
        <w:jc w:val="both"/>
      </w:pPr>
      <w:r w:rsidRPr="00265230">
        <w:t>Receber provisoriamente o material, disponibilizando local, data e horário;</w:t>
      </w:r>
    </w:p>
    <w:p w14:paraId="78384CFF" w14:textId="77777777" w:rsidR="0028796F" w:rsidRPr="00265230" w:rsidRDefault="0026034B" w:rsidP="00E53786">
      <w:pPr>
        <w:autoSpaceDE w:val="0"/>
        <w:autoSpaceDN w:val="0"/>
        <w:adjustRightInd w:val="0"/>
        <w:spacing w:after="240" w:line="360" w:lineRule="auto"/>
        <w:jc w:val="both"/>
      </w:pPr>
      <w:r w:rsidRPr="00265230">
        <w:t xml:space="preserve">Verificar minuciosamente, no prazo fixado, a conformidade dos bens recebidos provisoriamente com as especificações constantes </w:t>
      </w:r>
      <w:r w:rsidR="00B9035B" w:rsidRPr="00265230">
        <w:t>no processo licitatório</w:t>
      </w:r>
      <w:r w:rsidRPr="00265230">
        <w:t xml:space="preserve"> e da proposta, para fins de aceitação e recebimento definitivos; </w:t>
      </w:r>
    </w:p>
    <w:p w14:paraId="387D4290" w14:textId="60354F83" w:rsidR="0026034B" w:rsidRPr="00265230" w:rsidRDefault="0026034B" w:rsidP="00E53786">
      <w:pPr>
        <w:autoSpaceDE w:val="0"/>
        <w:autoSpaceDN w:val="0"/>
        <w:adjustRightInd w:val="0"/>
        <w:spacing w:after="240" w:line="360" w:lineRule="auto"/>
        <w:jc w:val="both"/>
      </w:pPr>
      <w:r w:rsidRPr="00265230">
        <w:t>Efetuar o pagamento no prazo previsto.</w:t>
      </w:r>
    </w:p>
    <w:p w14:paraId="386F727E" w14:textId="22EECEDF" w:rsidR="0026034B" w:rsidRPr="00265230" w:rsidRDefault="0026034B" w:rsidP="00E53786">
      <w:pPr>
        <w:autoSpaceDE w:val="0"/>
        <w:autoSpaceDN w:val="0"/>
        <w:adjustRightInd w:val="0"/>
        <w:spacing w:after="240" w:line="360" w:lineRule="auto"/>
        <w:jc w:val="both"/>
      </w:pPr>
      <w:r w:rsidRPr="00265230">
        <w:t>Acompanhar e fiscalizar o cumprimento das obrigações da Contratada, através de servidor especialmente designado, observando o seguinte:</w:t>
      </w:r>
    </w:p>
    <w:p w14:paraId="26881FFF" w14:textId="77777777" w:rsidR="0026034B" w:rsidRPr="00265230" w:rsidRDefault="0026034B" w:rsidP="006E77F3">
      <w:pPr>
        <w:pStyle w:val="PargrafodaLista"/>
        <w:numPr>
          <w:ilvl w:val="0"/>
          <w:numId w:val="6"/>
        </w:numPr>
        <w:tabs>
          <w:tab w:val="left" w:pos="2340"/>
          <w:tab w:val="left" w:pos="4464"/>
        </w:tabs>
        <w:spacing w:line="360" w:lineRule="auto"/>
        <w:jc w:val="both"/>
        <w:rPr>
          <w:rFonts w:ascii="Arial" w:hAnsi="Arial" w:cs="Arial"/>
        </w:rPr>
      </w:pPr>
      <w:r w:rsidRPr="00265230">
        <w:rPr>
          <w:rFonts w:ascii="Arial" w:hAnsi="Arial" w:cs="Arial"/>
        </w:rPr>
        <w:t xml:space="preserve">A fiscalização da contratação será exercida por um representante da Administração, ao qual competirá dirimir as dúvidas que surgirem no curso da execução do contrato, e de tudo dará ciência à Administração. </w:t>
      </w:r>
    </w:p>
    <w:p w14:paraId="6533FAC8" w14:textId="630A2CF6" w:rsidR="00426424" w:rsidRPr="00265230" w:rsidRDefault="0026034B" w:rsidP="00426424">
      <w:pPr>
        <w:pStyle w:val="PargrafodaLista"/>
        <w:numPr>
          <w:ilvl w:val="0"/>
          <w:numId w:val="6"/>
        </w:numPr>
        <w:tabs>
          <w:tab w:val="left" w:pos="2340"/>
          <w:tab w:val="left" w:pos="4464"/>
        </w:tabs>
        <w:spacing w:line="360" w:lineRule="auto"/>
        <w:jc w:val="both"/>
        <w:rPr>
          <w:rFonts w:ascii="Arial" w:hAnsi="Arial" w:cs="Arial"/>
        </w:rPr>
      </w:pPr>
      <w:r w:rsidRPr="00265230">
        <w:rPr>
          <w:rFonts w:ascii="Arial" w:hAnsi="Arial" w:cs="Arial"/>
        </w:rPr>
        <w:lastRenderedPageBreak/>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w:t>
      </w:r>
    </w:p>
    <w:p w14:paraId="186BC6B1" w14:textId="77777777" w:rsidR="001F2D97" w:rsidRPr="00265230" w:rsidRDefault="001F2D97" w:rsidP="001F2D97">
      <w:pPr>
        <w:pStyle w:val="PargrafodaLista"/>
        <w:tabs>
          <w:tab w:val="left" w:pos="2340"/>
          <w:tab w:val="left" w:pos="4464"/>
        </w:tabs>
        <w:spacing w:line="360" w:lineRule="auto"/>
        <w:ind w:left="1429"/>
        <w:jc w:val="both"/>
        <w:rPr>
          <w:rFonts w:ascii="Arial" w:hAnsi="Arial" w:cs="Arial"/>
          <w:sz w:val="16"/>
          <w:szCs w:val="16"/>
        </w:rPr>
      </w:pPr>
    </w:p>
    <w:p w14:paraId="3A5B14F7" w14:textId="09964725" w:rsidR="00426424" w:rsidRPr="00265230" w:rsidRDefault="00426424" w:rsidP="002A6BF9">
      <w:pPr>
        <w:pStyle w:val="PargrafodaLista"/>
        <w:numPr>
          <w:ilvl w:val="0"/>
          <w:numId w:val="29"/>
        </w:numPr>
        <w:spacing w:line="360" w:lineRule="auto"/>
        <w:rPr>
          <w:rFonts w:ascii="Arial" w:hAnsi="Arial" w:cs="Arial"/>
          <w:b/>
        </w:rPr>
      </w:pPr>
      <w:r w:rsidRPr="00265230">
        <w:rPr>
          <w:rFonts w:ascii="Arial" w:hAnsi="Arial" w:cs="Arial"/>
          <w:b/>
        </w:rPr>
        <w:t>CRITÉRIOS DE PAGAMENTO</w:t>
      </w:r>
    </w:p>
    <w:p w14:paraId="5DA83778" w14:textId="77777777" w:rsidR="00426424" w:rsidRPr="00E53786" w:rsidRDefault="00426424" w:rsidP="00E53786">
      <w:pPr>
        <w:autoSpaceDE w:val="0"/>
        <w:autoSpaceDN w:val="0"/>
        <w:adjustRightInd w:val="0"/>
        <w:spacing w:after="240" w:line="360" w:lineRule="auto"/>
        <w:jc w:val="both"/>
      </w:pPr>
      <w:r w:rsidRPr="00E53786">
        <w:t xml:space="preserve">O pagamento do objeto da presente contratação direta, deverá ser feito pela Administração em favor do contratado mediante boleto ou transferência bancária (TED, DOC, depósito ou PIX) em conta corrente de titularidade do contratado, no prazo de até último dia útil de cada mês após a data de recebimento definitivo do objeto, acompanhado da respectiva Nota Fiscal Eletrônica e arquivo XML. </w:t>
      </w:r>
    </w:p>
    <w:p w14:paraId="1964E112" w14:textId="77777777" w:rsidR="00426424" w:rsidRPr="00E53786" w:rsidRDefault="00426424" w:rsidP="00E53786">
      <w:pPr>
        <w:autoSpaceDE w:val="0"/>
        <w:autoSpaceDN w:val="0"/>
        <w:adjustRightInd w:val="0"/>
        <w:spacing w:after="240" w:line="360" w:lineRule="auto"/>
        <w:jc w:val="both"/>
      </w:pPr>
      <w:r w:rsidRPr="00E53786">
        <w:t>O número do CNPJ - Cadastro Nacional de Pessoa Jurídica - constante das notas fiscais deverá ser aquele fornecido na habilitação, exceto no caso de participação de empresas em consórcio.</w:t>
      </w:r>
    </w:p>
    <w:p w14:paraId="4E1B2749" w14:textId="77777777" w:rsidR="00426424" w:rsidRPr="00E53786" w:rsidRDefault="00426424" w:rsidP="00E53786">
      <w:pPr>
        <w:autoSpaceDE w:val="0"/>
        <w:autoSpaceDN w:val="0"/>
        <w:adjustRightInd w:val="0"/>
        <w:spacing w:after="240" w:line="360" w:lineRule="auto"/>
        <w:jc w:val="both"/>
      </w:pPr>
      <w:r w:rsidRPr="00E53786">
        <w:t>Nenhum pagamento será efetuado ao contratado enquanto pendente de liquidação qualquer obrigação financeira ou técnica que lhe for imposta, em virtude de penalidade ou inadimplência, sem que isso gere direito ao pleito do reajustamento de preços ou correção monetária.</w:t>
      </w:r>
    </w:p>
    <w:p w14:paraId="6DE6626E" w14:textId="22CF1651" w:rsidR="00426424" w:rsidRPr="00265230" w:rsidRDefault="00426424" w:rsidP="0026034B"/>
    <w:p w14:paraId="7D97DCD7" w14:textId="0737B67E" w:rsidR="006F519F" w:rsidRDefault="006F519F" w:rsidP="0026034B"/>
    <w:p w14:paraId="7F60A5E9" w14:textId="39C9C6F1" w:rsidR="003E6793" w:rsidRDefault="003E6793" w:rsidP="0026034B"/>
    <w:p w14:paraId="0CE1E997" w14:textId="77777777" w:rsidR="003E6793" w:rsidRPr="00265230" w:rsidRDefault="003E6793" w:rsidP="0026034B"/>
    <w:p w14:paraId="3CC9593E" w14:textId="0E824276" w:rsidR="0026034B" w:rsidRPr="00265230" w:rsidRDefault="00B10B89" w:rsidP="00B10B89">
      <w:pPr>
        <w:jc w:val="right"/>
      </w:pPr>
      <w:r w:rsidRPr="00265230">
        <w:t xml:space="preserve">São Lourenço do Oeste – SC, </w:t>
      </w:r>
      <w:r w:rsidR="00BF4E4F">
        <w:t xml:space="preserve">14 de </w:t>
      </w:r>
      <w:proofErr w:type="gramStart"/>
      <w:r w:rsidR="00BF4E4F">
        <w:t>Fevereiro</w:t>
      </w:r>
      <w:proofErr w:type="gramEnd"/>
      <w:r w:rsidR="00BF51A2" w:rsidRPr="00265230">
        <w:t xml:space="preserve"> </w:t>
      </w:r>
      <w:r w:rsidRPr="00265230">
        <w:t>de 202</w:t>
      </w:r>
      <w:r w:rsidR="00E53786">
        <w:t>5.</w:t>
      </w:r>
    </w:p>
    <w:p w14:paraId="137162E3" w14:textId="77777777" w:rsidR="0026034B" w:rsidRPr="001F2D97" w:rsidRDefault="0026034B" w:rsidP="0026034B">
      <w:pPr>
        <w:rPr>
          <w:rFonts w:ascii="Arial Narrow" w:hAnsi="Arial Narrow"/>
        </w:rPr>
      </w:pPr>
    </w:p>
    <w:p w14:paraId="42C0EE0F" w14:textId="51CAF7C2" w:rsidR="001F2D97" w:rsidRDefault="001F2D97" w:rsidP="0026034B">
      <w:pPr>
        <w:rPr>
          <w:rFonts w:ascii="Arial Narrow" w:hAnsi="Arial Narrow"/>
        </w:rPr>
      </w:pPr>
    </w:p>
    <w:p w14:paraId="728FA644" w14:textId="77777777" w:rsidR="003E6793" w:rsidRDefault="003E6793" w:rsidP="0026034B">
      <w:pPr>
        <w:rPr>
          <w:rFonts w:ascii="Arial Narrow" w:hAnsi="Arial Narrow"/>
        </w:rPr>
      </w:pPr>
    </w:p>
    <w:p w14:paraId="4307C3F0" w14:textId="2CF9F17C" w:rsidR="006F519F" w:rsidRDefault="006F519F" w:rsidP="0026034B">
      <w:pPr>
        <w:rPr>
          <w:rFonts w:ascii="Arial Narrow" w:hAnsi="Arial Narrow"/>
        </w:rPr>
      </w:pPr>
    </w:p>
    <w:p w14:paraId="0BB1F78B" w14:textId="45724CA3" w:rsidR="003E6793" w:rsidRDefault="003E6793" w:rsidP="0026034B">
      <w:pPr>
        <w:rPr>
          <w:rFonts w:ascii="Arial Narrow" w:hAnsi="Arial Narrow"/>
        </w:rPr>
      </w:pPr>
    </w:p>
    <w:p w14:paraId="4CF2EB72" w14:textId="1E3F5347" w:rsidR="003E6793" w:rsidRDefault="003E6793" w:rsidP="0026034B">
      <w:pPr>
        <w:rPr>
          <w:rFonts w:ascii="Arial Narrow" w:hAnsi="Arial Narrow"/>
        </w:rPr>
      </w:pPr>
    </w:p>
    <w:p w14:paraId="4B188874" w14:textId="77777777" w:rsidR="003E6793" w:rsidRDefault="003E6793" w:rsidP="0026034B">
      <w:pPr>
        <w:rPr>
          <w:rFonts w:ascii="Arial Narrow" w:hAnsi="Arial Narrow"/>
        </w:rPr>
      </w:pPr>
    </w:p>
    <w:p w14:paraId="0EBA19A9" w14:textId="77777777" w:rsidR="006F519F" w:rsidRPr="00E53786" w:rsidRDefault="006F519F" w:rsidP="0026034B"/>
    <w:p w14:paraId="683365CB" w14:textId="77777777" w:rsidR="00E53786" w:rsidRDefault="00E53786" w:rsidP="00E53786">
      <w:pPr>
        <w:jc w:val="center"/>
        <w:rPr>
          <w:b/>
          <w:bCs/>
          <w:sz w:val="20"/>
          <w:szCs w:val="20"/>
        </w:rPr>
        <w:sectPr w:rsidR="00E53786" w:rsidSect="007F32A6">
          <w:headerReference w:type="default" r:id="rId8"/>
          <w:footerReference w:type="default" r:id="rId9"/>
          <w:pgSz w:w="11900" w:h="16820"/>
          <w:pgMar w:top="1701" w:right="1134" w:bottom="1134" w:left="1701" w:header="426" w:footer="442" w:gutter="0"/>
          <w:pgNumType w:start="1"/>
          <w:cols w:space="720"/>
        </w:sectPr>
      </w:pPr>
      <w:bookmarkStart w:id="4" w:name="_Hlk167113179"/>
    </w:p>
    <w:p w14:paraId="028AA491" w14:textId="54B1E8AC" w:rsidR="0072386C" w:rsidRDefault="0026034B" w:rsidP="00E53786">
      <w:pPr>
        <w:rPr>
          <w:sz w:val="20"/>
          <w:szCs w:val="20"/>
        </w:rPr>
      </w:pPr>
      <w:r w:rsidRPr="00E53786">
        <w:rPr>
          <w:b/>
          <w:bCs/>
          <w:sz w:val="20"/>
          <w:szCs w:val="20"/>
        </w:rPr>
        <w:t>______________________________</w:t>
      </w:r>
      <w:r w:rsidR="0072386C" w:rsidRPr="00E53786">
        <w:rPr>
          <w:sz w:val="20"/>
          <w:szCs w:val="20"/>
        </w:rPr>
        <w:t>_</w:t>
      </w:r>
    </w:p>
    <w:p w14:paraId="38E4DC34" w14:textId="4837F643" w:rsidR="00E53786" w:rsidRPr="00E53786" w:rsidRDefault="00E53786" w:rsidP="00E53786">
      <w:pPr>
        <w:jc w:val="center"/>
        <w:rPr>
          <w:sz w:val="20"/>
          <w:szCs w:val="20"/>
        </w:rPr>
      </w:pPr>
      <w:r w:rsidRPr="00E53786">
        <w:rPr>
          <w:sz w:val="20"/>
          <w:szCs w:val="20"/>
        </w:rPr>
        <w:t>________________________________</w:t>
      </w:r>
    </w:p>
    <w:p w14:paraId="045708F7" w14:textId="77777777" w:rsidR="00E53786" w:rsidRPr="00E53786" w:rsidRDefault="00E53786" w:rsidP="00E53786">
      <w:pPr>
        <w:jc w:val="center"/>
        <w:rPr>
          <w:b/>
          <w:noProof/>
        </w:rPr>
        <w:sectPr w:rsidR="00E53786" w:rsidRPr="00E53786" w:rsidSect="00E53786">
          <w:type w:val="continuous"/>
          <w:pgSz w:w="11900" w:h="16820"/>
          <w:pgMar w:top="1843" w:right="1134" w:bottom="1134" w:left="1701" w:header="426" w:footer="442" w:gutter="0"/>
          <w:pgNumType w:start="1"/>
          <w:cols w:num="2" w:space="720"/>
        </w:sectPr>
      </w:pPr>
    </w:p>
    <w:p w14:paraId="00B14CC0" w14:textId="4FCDE9D8" w:rsidR="00E53786" w:rsidRPr="00E53786" w:rsidRDefault="0072386C" w:rsidP="00E53786">
      <w:pPr>
        <w:jc w:val="center"/>
        <w:rPr>
          <w:b/>
          <w:noProof/>
        </w:rPr>
      </w:pPr>
      <w:r w:rsidRPr="00E53786">
        <w:rPr>
          <w:b/>
          <w:noProof/>
        </w:rPr>
        <w:t>Carolina Mazzuco Borges</w:t>
      </w:r>
    </w:p>
    <w:p w14:paraId="4603DA56" w14:textId="2990D511" w:rsidR="0072386C" w:rsidRPr="00E53786" w:rsidRDefault="00E53786" w:rsidP="00E53786">
      <w:pPr>
        <w:jc w:val="center"/>
        <w:rPr>
          <w:b/>
          <w:noProof/>
        </w:rPr>
      </w:pPr>
      <w:r w:rsidRPr="00E53786">
        <w:rPr>
          <w:noProof/>
        </w:rPr>
        <w:t>Agente Administrativo</w:t>
      </w:r>
    </w:p>
    <w:p w14:paraId="1CDBEF02" w14:textId="32A522EE" w:rsidR="0072386C" w:rsidRPr="00E53786" w:rsidRDefault="00E53786" w:rsidP="00E53786">
      <w:pPr>
        <w:jc w:val="center"/>
        <w:rPr>
          <w:noProof/>
        </w:rPr>
      </w:pPr>
      <w:r w:rsidRPr="00E53786">
        <w:rPr>
          <w:b/>
          <w:noProof/>
        </w:rPr>
        <w:t xml:space="preserve">Valdelirio Locatelli da Cruz               </w:t>
      </w:r>
      <w:r w:rsidRPr="00E53786">
        <w:rPr>
          <w:noProof/>
        </w:rPr>
        <w:t>Presidente do CIMAM</w:t>
      </w:r>
    </w:p>
    <w:p w14:paraId="50A5BFF7" w14:textId="22584B98" w:rsidR="006F519F" w:rsidRDefault="006F519F" w:rsidP="00E53786">
      <w:pPr>
        <w:jc w:val="center"/>
        <w:rPr>
          <w:rFonts w:ascii="Arial Narrow" w:hAnsi="Arial Narrow" w:cstheme="minorHAnsi"/>
          <w:noProof/>
          <w:sz w:val="20"/>
          <w:szCs w:val="20"/>
        </w:rPr>
      </w:pPr>
    </w:p>
    <w:p w14:paraId="007FAF6D" w14:textId="77777777" w:rsidR="00E53786" w:rsidRDefault="00E53786" w:rsidP="006F519F">
      <w:pPr>
        <w:rPr>
          <w:rFonts w:ascii="Arial Narrow" w:hAnsi="Arial Narrow" w:cstheme="minorHAnsi"/>
          <w:noProof/>
          <w:sz w:val="20"/>
          <w:szCs w:val="20"/>
        </w:rPr>
        <w:sectPr w:rsidR="00E53786" w:rsidSect="00E53786">
          <w:type w:val="continuous"/>
          <w:pgSz w:w="11900" w:h="16820"/>
          <w:pgMar w:top="81" w:right="1137" w:bottom="336" w:left="986" w:header="397" w:footer="444" w:gutter="0"/>
          <w:pgNumType w:start="1"/>
          <w:cols w:num="2" w:space="720"/>
        </w:sectPr>
      </w:pPr>
    </w:p>
    <w:p w14:paraId="3058DBB7" w14:textId="19FFAC3F" w:rsidR="006F519F" w:rsidRDefault="006F519F" w:rsidP="006F519F">
      <w:pPr>
        <w:rPr>
          <w:rFonts w:ascii="Arial Narrow" w:hAnsi="Arial Narrow" w:cstheme="minorHAnsi"/>
          <w:noProof/>
          <w:sz w:val="20"/>
          <w:szCs w:val="20"/>
        </w:rPr>
      </w:pPr>
    </w:p>
    <w:p w14:paraId="41C1B7A9" w14:textId="77777777" w:rsidR="003E6793" w:rsidRDefault="003E6793" w:rsidP="006F519F">
      <w:pPr>
        <w:rPr>
          <w:rFonts w:ascii="Arial Narrow" w:hAnsi="Arial Narrow" w:cstheme="minorHAnsi"/>
          <w:noProof/>
          <w:sz w:val="20"/>
          <w:szCs w:val="20"/>
        </w:rPr>
      </w:pPr>
    </w:p>
    <w:p w14:paraId="18A9F2D7" w14:textId="77777777" w:rsidR="003C1A7C" w:rsidRPr="006F519F" w:rsidRDefault="003C1A7C" w:rsidP="006F519F">
      <w:pPr>
        <w:rPr>
          <w:rFonts w:ascii="Arial Narrow" w:hAnsi="Arial Narrow" w:cstheme="minorHAnsi"/>
          <w:noProof/>
          <w:sz w:val="20"/>
          <w:szCs w:val="20"/>
        </w:rPr>
      </w:pPr>
    </w:p>
    <w:bookmarkEnd w:id="4"/>
    <w:p w14:paraId="5706387F" w14:textId="77777777" w:rsidR="0026034B" w:rsidRPr="006F519F" w:rsidRDefault="0026034B" w:rsidP="0026034B">
      <w:pPr>
        <w:jc w:val="center"/>
        <w:rPr>
          <w:rFonts w:ascii="Arial Narrow" w:hAnsi="Arial Narrow"/>
        </w:rPr>
      </w:pPr>
      <w:r w:rsidRPr="006F519F">
        <w:rPr>
          <w:rFonts w:ascii="Arial Narrow" w:hAnsi="Arial Narrow"/>
        </w:rPr>
        <w:t>APROVO O PRESENTE TERMO DE REFERÊNCIA</w:t>
      </w:r>
    </w:p>
    <w:p w14:paraId="24B2322F" w14:textId="15A547A4" w:rsidR="0026034B" w:rsidRDefault="0026034B" w:rsidP="0026034B">
      <w:pPr>
        <w:jc w:val="center"/>
        <w:rPr>
          <w:rFonts w:ascii="Arial Narrow" w:hAnsi="Arial Narrow"/>
        </w:rPr>
      </w:pPr>
      <w:r w:rsidRPr="006F519F">
        <w:rPr>
          <w:rFonts w:ascii="Arial Narrow" w:hAnsi="Arial Narrow"/>
        </w:rPr>
        <w:lastRenderedPageBreak/>
        <w:t>E AUTORIZO A REALIZAÇÃO DA LICITAÇÃO.</w:t>
      </w:r>
    </w:p>
    <w:p w14:paraId="7B37B2B0" w14:textId="77777777" w:rsidR="006F519F" w:rsidRPr="006F519F" w:rsidRDefault="006F519F" w:rsidP="0026034B">
      <w:pPr>
        <w:jc w:val="center"/>
        <w:rPr>
          <w:rFonts w:ascii="Arial Narrow" w:hAnsi="Arial Narrow"/>
        </w:rPr>
      </w:pPr>
    </w:p>
    <w:p w14:paraId="4D7BAEEC" w14:textId="77777777" w:rsidR="00AE6BC2" w:rsidRPr="000C1C9D" w:rsidRDefault="00AE6BC2" w:rsidP="00AE6BC2">
      <w:pPr>
        <w:jc w:val="center"/>
        <w:rPr>
          <w:rFonts w:ascii="Arial Narrow" w:hAnsi="Arial Narrow" w:cstheme="minorHAnsi"/>
          <w:sz w:val="16"/>
          <w:szCs w:val="16"/>
        </w:rPr>
      </w:pPr>
      <w:r w:rsidRPr="001F2D97">
        <w:rPr>
          <w:rFonts w:ascii="Arial Narrow" w:hAnsi="Arial Narrow" w:cstheme="minorHAnsi"/>
          <w:sz w:val="16"/>
          <w:szCs w:val="16"/>
        </w:rPr>
        <w:t>Documento original eletrônico assinado digitalmente nos termos do Artigo 10 da Medida Provisória nº 2.200-2/2001 e Lei Federal nº 14.063/2020.</w:t>
      </w:r>
    </w:p>
    <w:sectPr w:rsidR="00AE6BC2" w:rsidRPr="000C1C9D" w:rsidSect="00E53786">
      <w:type w:val="continuous"/>
      <w:pgSz w:w="11900" w:h="16820"/>
      <w:pgMar w:top="81" w:right="1137" w:bottom="336" w:left="986" w:header="397" w:footer="4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6382" w14:textId="77777777" w:rsidR="00B962E2" w:rsidRDefault="00B962E2" w:rsidP="000A4E9D">
      <w:pPr>
        <w:spacing w:line="240" w:lineRule="auto"/>
      </w:pPr>
      <w:r>
        <w:separator/>
      </w:r>
    </w:p>
  </w:endnote>
  <w:endnote w:type="continuationSeparator" w:id="0">
    <w:p w14:paraId="48105B45" w14:textId="77777777" w:rsidR="00B962E2" w:rsidRDefault="00B962E2" w:rsidP="000A4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IDFont+F3">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CIDFont+F1">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666820"/>
      <w:docPartObj>
        <w:docPartGallery w:val="Page Numbers (Bottom of Page)"/>
        <w:docPartUnique/>
      </w:docPartObj>
    </w:sdtPr>
    <w:sdtEndPr/>
    <w:sdtContent>
      <w:p w14:paraId="48924DF3" w14:textId="3CD4D8ED" w:rsidR="0068444B" w:rsidRDefault="0068444B">
        <w:pPr>
          <w:pStyle w:val="Rodap"/>
          <w:jc w:val="right"/>
        </w:pPr>
        <w:r>
          <w:fldChar w:fldCharType="begin"/>
        </w:r>
        <w:r>
          <w:instrText>PAGE   \* MERGEFORMAT</w:instrText>
        </w:r>
        <w:r>
          <w:fldChar w:fldCharType="separate"/>
        </w:r>
        <w:r>
          <w:t>2</w:t>
        </w:r>
        <w:r>
          <w:fldChar w:fldCharType="end"/>
        </w:r>
      </w:p>
    </w:sdtContent>
  </w:sdt>
  <w:p w14:paraId="378B3C5C" w14:textId="77777777" w:rsidR="0068444B" w:rsidRDefault="006844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9B36" w14:textId="77777777" w:rsidR="00B962E2" w:rsidRDefault="00B962E2" w:rsidP="000A4E9D">
      <w:pPr>
        <w:spacing w:line="240" w:lineRule="auto"/>
      </w:pPr>
      <w:bookmarkStart w:id="0" w:name="_Hlk155957210"/>
      <w:bookmarkEnd w:id="0"/>
      <w:r>
        <w:separator/>
      </w:r>
    </w:p>
  </w:footnote>
  <w:footnote w:type="continuationSeparator" w:id="0">
    <w:p w14:paraId="1B385D14" w14:textId="77777777" w:rsidR="00B962E2" w:rsidRDefault="00B962E2" w:rsidP="000A4E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92" w:type="dxa"/>
      <w:tblLook w:val="04A0" w:firstRow="1" w:lastRow="0" w:firstColumn="1" w:lastColumn="0" w:noHBand="0" w:noVBand="1"/>
    </w:tblPr>
    <w:tblGrid>
      <w:gridCol w:w="8646"/>
      <w:gridCol w:w="222"/>
    </w:tblGrid>
    <w:tr w:rsidR="009A233E" w14:paraId="52597E4E" w14:textId="77777777" w:rsidTr="00E53786">
      <w:trPr>
        <w:trHeight w:val="1416"/>
      </w:trPr>
      <w:tc>
        <w:tcPr>
          <w:tcW w:w="8451" w:type="dxa"/>
          <w:shd w:val="clear" w:color="auto" w:fill="auto"/>
        </w:tcPr>
        <w:p w14:paraId="651B34BC" w14:textId="4860BADD" w:rsidR="009A233E" w:rsidRDefault="00B10B89" w:rsidP="009A233E">
          <w:pPr>
            <w:jc w:val="both"/>
            <w:outlineLvl w:val="0"/>
            <w:rPr>
              <w:b/>
              <w:bCs/>
              <w:sz w:val="18"/>
              <w:szCs w:val="18"/>
            </w:rPr>
          </w:pPr>
          <w:r>
            <w:rPr>
              <w:b/>
              <w:bCs/>
              <w:noProof/>
              <w:sz w:val="18"/>
              <w:szCs w:val="18"/>
            </w:rPr>
            <w:drawing>
              <wp:inline distT="0" distB="0" distL="0" distR="0" wp14:anchorId="65C00DA5" wp14:editId="3A3E1F5A">
                <wp:extent cx="5353050" cy="814594"/>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368108" cy="816885"/>
                        </a:xfrm>
                        <a:prstGeom prst="rect">
                          <a:avLst/>
                        </a:prstGeom>
                      </pic:spPr>
                    </pic:pic>
                  </a:graphicData>
                </a:graphic>
              </wp:inline>
            </w:drawing>
          </w:r>
        </w:p>
      </w:tc>
      <w:tc>
        <w:tcPr>
          <w:tcW w:w="222" w:type="dxa"/>
          <w:shd w:val="clear" w:color="auto" w:fill="auto"/>
        </w:tcPr>
        <w:p w14:paraId="56BE01D7" w14:textId="77777777" w:rsidR="009A233E" w:rsidRDefault="009A233E" w:rsidP="009A233E">
          <w:pPr>
            <w:spacing w:after="20"/>
            <w:rPr>
              <w:b/>
              <w:bCs/>
              <w:sz w:val="18"/>
              <w:szCs w:val="18"/>
            </w:rPr>
          </w:pPr>
        </w:p>
      </w:tc>
    </w:tr>
  </w:tbl>
  <w:p w14:paraId="65707218" w14:textId="41ED7D63" w:rsidR="009A233E" w:rsidRDefault="009A233E" w:rsidP="00E537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406"/>
    <w:multiLevelType w:val="hybridMultilevel"/>
    <w:tmpl w:val="B2E0C838"/>
    <w:lvl w:ilvl="0" w:tplc="37703D3A">
      <w:start w:val="1"/>
      <w:numFmt w:val="decimal"/>
      <w:lvlText w:val="%1."/>
      <w:lvlJc w:val="left"/>
      <w:pPr>
        <w:ind w:left="720" w:hanging="360"/>
      </w:pPr>
      <w:rPr>
        <w:rFonts w:ascii="Arial" w:hAnsi="Arial" w:cs="Arial"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081314"/>
    <w:multiLevelType w:val="multilevel"/>
    <w:tmpl w:val="31F2A212"/>
    <w:lvl w:ilvl="0">
      <w:start w:val="4"/>
      <w:numFmt w:val="decimal"/>
      <w:lvlText w:val="%1"/>
      <w:lvlJc w:val="left"/>
      <w:pPr>
        <w:ind w:left="360" w:hanging="360"/>
      </w:pPr>
      <w:rPr>
        <w:rFonts w:hint="default"/>
        <w:b/>
        <w:bCs/>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2C206BE"/>
    <w:multiLevelType w:val="hybridMultilevel"/>
    <w:tmpl w:val="AB04663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BF4C33"/>
    <w:multiLevelType w:val="hybridMultilevel"/>
    <w:tmpl w:val="5756DFA8"/>
    <w:lvl w:ilvl="0" w:tplc="E3AA9006">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2F379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D205B8"/>
    <w:multiLevelType w:val="hybridMultilevel"/>
    <w:tmpl w:val="4192DEA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6F77DF"/>
    <w:multiLevelType w:val="hybridMultilevel"/>
    <w:tmpl w:val="F2C07B50"/>
    <w:lvl w:ilvl="0" w:tplc="50FE97DA">
      <w:start w:val="1"/>
      <w:numFmt w:val="lowerLetter"/>
      <w:lvlText w:val="%1."/>
      <w:lvlJc w:val="left"/>
      <w:pPr>
        <w:ind w:left="1500" w:hanging="360"/>
      </w:pPr>
      <w:rPr>
        <w:b/>
        <w:bCs/>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7" w15:restartNumberingAfterBreak="0">
    <w:nsid w:val="2C9D500B"/>
    <w:multiLevelType w:val="hybridMultilevel"/>
    <w:tmpl w:val="129E99C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2DDE60D2"/>
    <w:multiLevelType w:val="hybridMultilevel"/>
    <w:tmpl w:val="691822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1500F1D"/>
    <w:multiLevelType w:val="hybridMultilevel"/>
    <w:tmpl w:val="E2B6FF1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E07D66"/>
    <w:multiLevelType w:val="hybridMultilevel"/>
    <w:tmpl w:val="F988699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CD2C93"/>
    <w:multiLevelType w:val="hybridMultilevel"/>
    <w:tmpl w:val="5C7C59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055D87"/>
    <w:multiLevelType w:val="hybridMultilevel"/>
    <w:tmpl w:val="B862003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B9F0434"/>
    <w:multiLevelType w:val="hybridMultilevel"/>
    <w:tmpl w:val="8EB073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9B0D65"/>
    <w:multiLevelType w:val="hybridMultilevel"/>
    <w:tmpl w:val="143CB880"/>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F71122A"/>
    <w:multiLevelType w:val="hybridMultilevel"/>
    <w:tmpl w:val="BEB230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B43417"/>
    <w:multiLevelType w:val="hybridMultilevel"/>
    <w:tmpl w:val="108AC25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A673E5"/>
    <w:multiLevelType w:val="hybridMultilevel"/>
    <w:tmpl w:val="C03079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48AC3BB7"/>
    <w:multiLevelType w:val="hybridMultilevel"/>
    <w:tmpl w:val="4B1AB458"/>
    <w:lvl w:ilvl="0" w:tplc="04160017">
      <w:start w:val="1"/>
      <w:numFmt w:val="lowerLetter"/>
      <w:lvlText w:val="%1)"/>
      <w:lvlJc w:val="left"/>
      <w:pPr>
        <w:ind w:left="720" w:hanging="360"/>
      </w:pPr>
    </w:lvl>
    <w:lvl w:ilvl="1" w:tplc="036EDAE2">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EE0DE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680E9A"/>
    <w:multiLevelType w:val="hybridMultilevel"/>
    <w:tmpl w:val="D93A2068"/>
    <w:lvl w:ilvl="0" w:tplc="AD6EEA7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05476C5"/>
    <w:multiLevelType w:val="hybridMultilevel"/>
    <w:tmpl w:val="56A0CEE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8F2BF0"/>
    <w:multiLevelType w:val="hybridMultilevel"/>
    <w:tmpl w:val="88441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55035D9"/>
    <w:multiLevelType w:val="hybridMultilevel"/>
    <w:tmpl w:val="015EEED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15:restartNumberingAfterBreak="0">
    <w:nsid w:val="56BB0C8F"/>
    <w:multiLevelType w:val="hybridMultilevel"/>
    <w:tmpl w:val="D87CA11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223ABD"/>
    <w:multiLevelType w:val="hybridMultilevel"/>
    <w:tmpl w:val="25580F0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2D3250"/>
    <w:multiLevelType w:val="hybridMultilevel"/>
    <w:tmpl w:val="D96CBEC0"/>
    <w:lvl w:ilvl="0" w:tplc="04160019">
      <w:start w:val="1"/>
      <w:numFmt w:val="lowerLetter"/>
      <w:lvlText w:val="%1."/>
      <w:lvlJc w:val="lef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7" w15:restartNumberingAfterBreak="0">
    <w:nsid w:val="68CE64B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85298A"/>
    <w:multiLevelType w:val="hybridMultilevel"/>
    <w:tmpl w:val="699871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552CD1"/>
    <w:multiLevelType w:val="hybridMultilevel"/>
    <w:tmpl w:val="341EDE4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1E429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A84B38"/>
    <w:multiLevelType w:val="hybridMultilevel"/>
    <w:tmpl w:val="C57A93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D4713A"/>
    <w:multiLevelType w:val="multilevel"/>
    <w:tmpl w:val="28301900"/>
    <w:lvl w:ilvl="0">
      <w:start w:val="1"/>
      <w:numFmt w:val="decimal"/>
      <w:lvlText w:val="%1."/>
      <w:lvlJc w:val="left"/>
      <w:pPr>
        <w:ind w:left="709" w:hanging="709"/>
      </w:pPr>
      <w:rPr>
        <w:rFonts w:hint="default"/>
        <w:b/>
        <w:bCs/>
      </w:rPr>
    </w:lvl>
    <w:lvl w:ilvl="1">
      <w:start w:val="1"/>
      <w:numFmt w:val="decimal"/>
      <w:lvlText w:val="%1.%2."/>
      <w:lvlJc w:val="left"/>
      <w:pPr>
        <w:ind w:left="709" w:hanging="709"/>
      </w:pPr>
      <w:rPr>
        <w:rFonts w:hint="default"/>
        <w:b/>
        <w:bCs/>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3" w15:restartNumberingAfterBreak="0">
    <w:nsid w:val="7FC04272"/>
    <w:multiLevelType w:val="hybridMultilevel"/>
    <w:tmpl w:val="A7169E7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29"/>
  </w:num>
  <w:num w:numId="3">
    <w:abstractNumId w:val="13"/>
  </w:num>
  <w:num w:numId="4">
    <w:abstractNumId w:val="32"/>
  </w:num>
  <w:num w:numId="5">
    <w:abstractNumId w:val="0"/>
  </w:num>
  <w:num w:numId="6">
    <w:abstractNumId w:val="20"/>
  </w:num>
  <w:num w:numId="7">
    <w:abstractNumId w:val="8"/>
  </w:num>
  <w:num w:numId="8">
    <w:abstractNumId w:val="18"/>
  </w:num>
  <w:num w:numId="9">
    <w:abstractNumId w:val="15"/>
  </w:num>
  <w:num w:numId="10">
    <w:abstractNumId w:val="27"/>
  </w:num>
  <w:num w:numId="11">
    <w:abstractNumId w:val="4"/>
  </w:num>
  <w:num w:numId="12">
    <w:abstractNumId w:val="2"/>
  </w:num>
  <w:num w:numId="13">
    <w:abstractNumId w:val="9"/>
  </w:num>
  <w:num w:numId="14">
    <w:abstractNumId w:val="16"/>
  </w:num>
  <w:num w:numId="15">
    <w:abstractNumId w:val="5"/>
  </w:num>
  <w:num w:numId="16">
    <w:abstractNumId w:val="22"/>
  </w:num>
  <w:num w:numId="17">
    <w:abstractNumId w:val="11"/>
  </w:num>
  <w:num w:numId="18">
    <w:abstractNumId w:val="17"/>
  </w:num>
  <w:num w:numId="19">
    <w:abstractNumId w:val="24"/>
  </w:num>
  <w:num w:numId="20">
    <w:abstractNumId w:val="25"/>
  </w:num>
  <w:num w:numId="21">
    <w:abstractNumId w:val="23"/>
  </w:num>
  <w:num w:numId="22">
    <w:abstractNumId w:val="10"/>
  </w:num>
  <w:num w:numId="23">
    <w:abstractNumId w:val="21"/>
  </w:num>
  <w:num w:numId="24">
    <w:abstractNumId w:val="3"/>
  </w:num>
  <w:num w:numId="25">
    <w:abstractNumId w:val="33"/>
  </w:num>
  <w:num w:numId="26">
    <w:abstractNumId w:val="12"/>
  </w:num>
  <w:num w:numId="27">
    <w:abstractNumId w:val="19"/>
  </w:num>
  <w:num w:numId="28">
    <w:abstractNumId w:val="30"/>
  </w:num>
  <w:num w:numId="29">
    <w:abstractNumId w:val="1"/>
  </w:num>
  <w:num w:numId="30">
    <w:abstractNumId w:val="6"/>
  </w:num>
  <w:num w:numId="31">
    <w:abstractNumId w:val="31"/>
  </w:num>
  <w:num w:numId="32">
    <w:abstractNumId w:val="7"/>
  </w:num>
  <w:num w:numId="33">
    <w:abstractNumId w:val="1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1B"/>
    <w:rsid w:val="0000355B"/>
    <w:rsid w:val="0000446D"/>
    <w:rsid w:val="000102EF"/>
    <w:rsid w:val="000162FB"/>
    <w:rsid w:val="00033F09"/>
    <w:rsid w:val="00056619"/>
    <w:rsid w:val="00064916"/>
    <w:rsid w:val="000676C5"/>
    <w:rsid w:val="00071657"/>
    <w:rsid w:val="00081134"/>
    <w:rsid w:val="000A01A0"/>
    <w:rsid w:val="000A12AC"/>
    <w:rsid w:val="000A159F"/>
    <w:rsid w:val="000A31CF"/>
    <w:rsid w:val="000A4448"/>
    <w:rsid w:val="000A4E9D"/>
    <w:rsid w:val="000B1E16"/>
    <w:rsid w:val="000B5A1B"/>
    <w:rsid w:val="000C1154"/>
    <w:rsid w:val="000D1636"/>
    <w:rsid w:val="000D2218"/>
    <w:rsid w:val="000E68DC"/>
    <w:rsid w:val="00101793"/>
    <w:rsid w:val="00104E62"/>
    <w:rsid w:val="00105133"/>
    <w:rsid w:val="00107215"/>
    <w:rsid w:val="00155F28"/>
    <w:rsid w:val="00164A1A"/>
    <w:rsid w:val="00175483"/>
    <w:rsid w:val="001A4836"/>
    <w:rsid w:val="001B0457"/>
    <w:rsid w:val="001B41A2"/>
    <w:rsid w:val="001C1BE2"/>
    <w:rsid w:val="001C4EF0"/>
    <w:rsid w:val="001D7C93"/>
    <w:rsid w:val="001E2FAA"/>
    <w:rsid w:val="001E39D5"/>
    <w:rsid w:val="001F216D"/>
    <w:rsid w:val="001F2D97"/>
    <w:rsid w:val="001F32EE"/>
    <w:rsid w:val="00201982"/>
    <w:rsid w:val="00202DDD"/>
    <w:rsid w:val="0022657C"/>
    <w:rsid w:val="00227D14"/>
    <w:rsid w:val="002458A0"/>
    <w:rsid w:val="0026034B"/>
    <w:rsid w:val="00265230"/>
    <w:rsid w:val="00265945"/>
    <w:rsid w:val="00265FA5"/>
    <w:rsid w:val="00284428"/>
    <w:rsid w:val="0028796F"/>
    <w:rsid w:val="00291115"/>
    <w:rsid w:val="002A2110"/>
    <w:rsid w:val="002A6BF9"/>
    <w:rsid w:val="002A6E30"/>
    <w:rsid w:val="002B4B99"/>
    <w:rsid w:val="002B5DB8"/>
    <w:rsid w:val="002B7A23"/>
    <w:rsid w:val="002E1424"/>
    <w:rsid w:val="002F151B"/>
    <w:rsid w:val="0030435E"/>
    <w:rsid w:val="00304606"/>
    <w:rsid w:val="003111D6"/>
    <w:rsid w:val="00320BEC"/>
    <w:rsid w:val="003257C7"/>
    <w:rsid w:val="0034096E"/>
    <w:rsid w:val="00340D4E"/>
    <w:rsid w:val="00357614"/>
    <w:rsid w:val="00363BDC"/>
    <w:rsid w:val="0037352A"/>
    <w:rsid w:val="003776D2"/>
    <w:rsid w:val="00381EED"/>
    <w:rsid w:val="003B1099"/>
    <w:rsid w:val="003B2588"/>
    <w:rsid w:val="003C17EE"/>
    <w:rsid w:val="003C1A7C"/>
    <w:rsid w:val="003C2F79"/>
    <w:rsid w:val="003C35B5"/>
    <w:rsid w:val="003C4AC1"/>
    <w:rsid w:val="003D6865"/>
    <w:rsid w:val="003E6793"/>
    <w:rsid w:val="003E6B99"/>
    <w:rsid w:val="003F278A"/>
    <w:rsid w:val="003F489A"/>
    <w:rsid w:val="00414BE9"/>
    <w:rsid w:val="00425175"/>
    <w:rsid w:val="00426424"/>
    <w:rsid w:val="00432CD1"/>
    <w:rsid w:val="00434D2D"/>
    <w:rsid w:val="00434D3C"/>
    <w:rsid w:val="00441D9E"/>
    <w:rsid w:val="00442CA2"/>
    <w:rsid w:val="00443433"/>
    <w:rsid w:val="004446FB"/>
    <w:rsid w:val="00464F92"/>
    <w:rsid w:val="00465470"/>
    <w:rsid w:val="0048140E"/>
    <w:rsid w:val="004827A3"/>
    <w:rsid w:val="004936D1"/>
    <w:rsid w:val="004972A8"/>
    <w:rsid w:val="004A5148"/>
    <w:rsid w:val="004A62C8"/>
    <w:rsid w:val="004A6ED2"/>
    <w:rsid w:val="004B272D"/>
    <w:rsid w:val="004B2ED8"/>
    <w:rsid w:val="004E17D5"/>
    <w:rsid w:val="004F1ACC"/>
    <w:rsid w:val="004F20CE"/>
    <w:rsid w:val="004F2B35"/>
    <w:rsid w:val="004F7F28"/>
    <w:rsid w:val="00505AF4"/>
    <w:rsid w:val="005250F7"/>
    <w:rsid w:val="0052750D"/>
    <w:rsid w:val="005466BA"/>
    <w:rsid w:val="00555094"/>
    <w:rsid w:val="00562D1A"/>
    <w:rsid w:val="00571D34"/>
    <w:rsid w:val="0058594F"/>
    <w:rsid w:val="00586B0E"/>
    <w:rsid w:val="005A20A2"/>
    <w:rsid w:val="005A7CD7"/>
    <w:rsid w:val="005D386B"/>
    <w:rsid w:val="005E67FA"/>
    <w:rsid w:val="005F73AC"/>
    <w:rsid w:val="006067A8"/>
    <w:rsid w:val="006135CC"/>
    <w:rsid w:val="00620402"/>
    <w:rsid w:val="006400D0"/>
    <w:rsid w:val="00646F1C"/>
    <w:rsid w:val="00657C71"/>
    <w:rsid w:val="00660715"/>
    <w:rsid w:val="006641DE"/>
    <w:rsid w:val="006730A0"/>
    <w:rsid w:val="0067326C"/>
    <w:rsid w:val="00676CB4"/>
    <w:rsid w:val="0068444B"/>
    <w:rsid w:val="006853D2"/>
    <w:rsid w:val="006A265B"/>
    <w:rsid w:val="006B49FE"/>
    <w:rsid w:val="006B6994"/>
    <w:rsid w:val="006C5B6F"/>
    <w:rsid w:val="006C69EA"/>
    <w:rsid w:val="006D21F0"/>
    <w:rsid w:val="006E27EA"/>
    <w:rsid w:val="006E77F3"/>
    <w:rsid w:val="006E7B3B"/>
    <w:rsid w:val="006F321B"/>
    <w:rsid w:val="006F479F"/>
    <w:rsid w:val="006F519F"/>
    <w:rsid w:val="00713CA6"/>
    <w:rsid w:val="00715017"/>
    <w:rsid w:val="0072386C"/>
    <w:rsid w:val="00731642"/>
    <w:rsid w:val="00733C72"/>
    <w:rsid w:val="00734323"/>
    <w:rsid w:val="00755337"/>
    <w:rsid w:val="00763035"/>
    <w:rsid w:val="00767176"/>
    <w:rsid w:val="00773574"/>
    <w:rsid w:val="007801EF"/>
    <w:rsid w:val="00785EED"/>
    <w:rsid w:val="00795303"/>
    <w:rsid w:val="007A72F9"/>
    <w:rsid w:val="007B12F6"/>
    <w:rsid w:val="007D39B2"/>
    <w:rsid w:val="007D472C"/>
    <w:rsid w:val="007F32A6"/>
    <w:rsid w:val="007F58D0"/>
    <w:rsid w:val="007F6483"/>
    <w:rsid w:val="008079AA"/>
    <w:rsid w:val="00811185"/>
    <w:rsid w:val="008249D7"/>
    <w:rsid w:val="008320F1"/>
    <w:rsid w:val="0083644C"/>
    <w:rsid w:val="008415F9"/>
    <w:rsid w:val="008739E6"/>
    <w:rsid w:val="008822B6"/>
    <w:rsid w:val="008926FB"/>
    <w:rsid w:val="008968DE"/>
    <w:rsid w:val="008A6B71"/>
    <w:rsid w:val="008B201B"/>
    <w:rsid w:val="008B6C92"/>
    <w:rsid w:val="008E602B"/>
    <w:rsid w:val="008E74AE"/>
    <w:rsid w:val="008F044D"/>
    <w:rsid w:val="00903B78"/>
    <w:rsid w:val="009051BA"/>
    <w:rsid w:val="009065F5"/>
    <w:rsid w:val="00913DE8"/>
    <w:rsid w:val="00922173"/>
    <w:rsid w:val="00947AB4"/>
    <w:rsid w:val="00947AD4"/>
    <w:rsid w:val="00971F30"/>
    <w:rsid w:val="00992373"/>
    <w:rsid w:val="0099695C"/>
    <w:rsid w:val="009A233E"/>
    <w:rsid w:val="009C6640"/>
    <w:rsid w:val="009D5E61"/>
    <w:rsid w:val="009E2C1F"/>
    <w:rsid w:val="009E3A4E"/>
    <w:rsid w:val="009E428A"/>
    <w:rsid w:val="009E5888"/>
    <w:rsid w:val="009F786C"/>
    <w:rsid w:val="00A279AA"/>
    <w:rsid w:val="00A44536"/>
    <w:rsid w:val="00A47B9A"/>
    <w:rsid w:val="00A511E6"/>
    <w:rsid w:val="00A6552A"/>
    <w:rsid w:val="00A66204"/>
    <w:rsid w:val="00A726A8"/>
    <w:rsid w:val="00AA7412"/>
    <w:rsid w:val="00AB0F82"/>
    <w:rsid w:val="00AE6BC2"/>
    <w:rsid w:val="00AF2D34"/>
    <w:rsid w:val="00AF4A0F"/>
    <w:rsid w:val="00B05DE6"/>
    <w:rsid w:val="00B10B89"/>
    <w:rsid w:val="00B2031F"/>
    <w:rsid w:val="00B53766"/>
    <w:rsid w:val="00B555D4"/>
    <w:rsid w:val="00B66F9D"/>
    <w:rsid w:val="00B812F8"/>
    <w:rsid w:val="00B822AC"/>
    <w:rsid w:val="00B83885"/>
    <w:rsid w:val="00B9035B"/>
    <w:rsid w:val="00B962E2"/>
    <w:rsid w:val="00BA4476"/>
    <w:rsid w:val="00BD7667"/>
    <w:rsid w:val="00BE040E"/>
    <w:rsid w:val="00BE4946"/>
    <w:rsid w:val="00BF4E4F"/>
    <w:rsid w:val="00BF51A2"/>
    <w:rsid w:val="00C02914"/>
    <w:rsid w:val="00C13CB9"/>
    <w:rsid w:val="00C44AA1"/>
    <w:rsid w:val="00C72455"/>
    <w:rsid w:val="00C924B7"/>
    <w:rsid w:val="00CA0F1B"/>
    <w:rsid w:val="00CB4C9C"/>
    <w:rsid w:val="00CC7479"/>
    <w:rsid w:val="00CD1EC9"/>
    <w:rsid w:val="00CD45F9"/>
    <w:rsid w:val="00CF0FC5"/>
    <w:rsid w:val="00CF2ED9"/>
    <w:rsid w:val="00D006EB"/>
    <w:rsid w:val="00D07FF4"/>
    <w:rsid w:val="00D120A1"/>
    <w:rsid w:val="00D37F6D"/>
    <w:rsid w:val="00D61A44"/>
    <w:rsid w:val="00D62E13"/>
    <w:rsid w:val="00D63B69"/>
    <w:rsid w:val="00D64C24"/>
    <w:rsid w:val="00D95D9B"/>
    <w:rsid w:val="00DA52B1"/>
    <w:rsid w:val="00DD0671"/>
    <w:rsid w:val="00DD3208"/>
    <w:rsid w:val="00DF5A61"/>
    <w:rsid w:val="00DF6BFE"/>
    <w:rsid w:val="00E1379F"/>
    <w:rsid w:val="00E149EF"/>
    <w:rsid w:val="00E27644"/>
    <w:rsid w:val="00E50B80"/>
    <w:rsid w:val="00E53786"/>
    <w:rsid w:val="00E57A82"/>
    <w:rsid w:val="00E60C5A"/>
    <w:rsid w:val="00E7005C"/>
    <w:rsid w:val="00EC3D02"/>
    <w:rsid w:val="00EE0DB6"/>
    <w:rsid w:val="00EE424D"/>
    <w:rsid w:val="00F06214"/>
    <w:rsid w:val="00F10F96"/>
    <w:rsid w:val="00F11A01"/>
    <w:rsid w:val="00F318C9"/>
    <w:rsid w:val="00F45658"/>
    <w:rsid w:val="00F5249E"/>
    <w:rsid w:val="00F53CF6"/>
    <w:rsid w:val="00F565EA"/>
    <w:rsid w:val="00F84690"/>
    <w:rsid w:val="00F86757"/>
    <w:rsid w:val="00F90D91"/>
    <w:rsid w:val="00F93D6E"/>
    <w:rsid w:val="00FC133E"/>
    <w:rsid w:val="00FD490E"/>
    <w:rsid w:val="00FF46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1A066"/>
  <w15:docId w15:val="{1297E775-1F80-49B1-B5D6-8D482A3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3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0A4E9D"/>
    <w:pPr>
      <w:tabs>
        <w:tab w:val="center" w:pos="4252"/>
        <w:tab w:val="right" w:pos="8504"/>
      </w:tabs>
      <w:spacing w:line="240" w:lineRule="auto"/>
    </w:pPr>
  </w:style>
  <w:style w:type="character" w:customStyle="1" w:styleId="CabealhoChar">
    <w:name w:val="Cabeçalho Char"/>
    <w:basedOn w:val="Fontepargpadro"/>
    <w:link w:val="Cabealho"/>
    <w:uiPriority w:val="99"/>
    <w:rsid w:val="000A4E9D"/>
  </w:style>
  <w:style w:type="paragraph" w:styleId="Rodap">
    <w:name w:val="footer"/>
    <w:basedOn w:val="Normal"/>
    <w:link w:val="RodapChar"/>
    <w:uiPriority w:val="99"/>
    <w:unhideWhenUsed/>
    <w:rsid w:val="000A4E9D"/>
    <w:pPr>
      <w:tabs>
        <w:tab w:val="center" w:pos="4252"/>
        <w:tab w:val="right" w:pos="8504"/>
      </w:tabs>
      <w:spacing w:line="240" w:lineRule="auto"/>
    </w:pPr>
  </w:style>
  <w:style w:type="character" w:customStyle="1" w:styleId="RodapChar">
    <w:name w:val="Rodapé Char"/>
    <w:basedOn w:val="Fontepargpadro"/>
    <w:link w:val="Rodap"/>
    <w:uiPriority w:val="99"/>
    <w:rsid w:val="000A4E9D"/>
  </w:style>
  <w:style w:type="table" w:styleId="Tabelacomgrade">
    <w:name w:val="Table Grid"/>
    <w:basedOn w:val="Tabelanormal"/>
    <w:uiPriority w:val="39"/>
    <w:rsid w:val="009923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Paragrafo,Lista Colorida - Ênfase 11"/>
    <w:basedOn w:val="Normal"/>
    <w:link w:val="PargrafodaListaChar"/>
    <w:uiPriority w:val="34"/>
    <w:qFormat/>
    <w:rsid w:val="0026034B"/>
    <w:pPr>
      <w:spacing w:after="160" w:line="259" w:lineRule="auto"/>
      <w:ind w:left="720"/>
      <w:contextualSpacing/>
    </w:pPr>
    <w:rPr>
      <w:rFonts w:asciiTheme="minorHAnsi" w:eastAsiaTheme="minorHAnsi" w:hAnsiTheme="minorHAnsi" w:cstheme="minorBidi"/>
      <w:lang w:eastAsia="en-US"/>
    </w:rPr>
  </w:style>
  <w:style w:type="character" w:customStyle="1" w:styleId="PargrafodaListaChar">
    <w:name w:val="Parágrafo da Lista Char"/>
    <w:aliases w:val="Paragrafo Char,Lista Colorida - Ênfase 11 Char"/>
    <w:link w:val="PargrafodaLista"/>
    <w:uiPriority w:val="34"/>
    <w:locked/>
    <w:rsid w:val="00A66204"/>
    <w:rPr>
      <w:rFonts w:asciiTheme="minorHAnsi" w:eastAsiaTheme="minorHAnsi" w:hAnsiTheme="minorHAnsi" w:cstheme="minorBidi"/>
      <w:lang w:eastAsia="en-US"/>
    </w:rPr>
  </w:style>
  <w:style w:type="character" w:customStyle="1" w:styleId="fontstyle01">
    <w:name w:val="fontstyle01"/>
    <w:basedOn w:val="Fontepargpadro"/>
    <w:rsid w:val="006E27EA"/>
    <w:rPr>
      <w:rFonts w:ascii="CIDFont+F3" w:hAnsi="CIDFont+F3" w:hint="default"/>
      <w:b w:val="0"/>
      <w:bCs w:val="0"/>
      <w:i w:val="0"/>
      <w:iCs w:val="0"/>
      <w:color w:val="000000"/>
      <w:sz w:val="22"/>
      <w:szCs w:val="22"/>
    </w:rPr>
  </w:style>
  <w:style w:type="character" w:styleId="Hyperlink">
    <w:name w:val="Hyperlink"/>
    <w:basedOn w:val="Fontepargpadro"/>
    <w:uiPriority w:val="99"/>
    <w:unhideWhenUsed/>
    <w:rsid w:val="002B5DB8"/>
    <w:rPr>
      <w:color w:val="0000FF" w:themeColor="hyperlink"/>
      <w:u w:val="single"/>
    </w:rPr>
  </w:style>
  <w:style w:type="character" w:styleId="MenoPendente">
    <w:name w:val="Unresolved Mention"/>
    <w:basedOn w:val="Fontepargpadro"/>
    <w:uiPriority w:val="99"/>
    <w:semiHidden/>
    <w:unhideWhenUsed/>
    <w:rsid w:val="002B5DB8"/>
    <w:rPr>
      <w:color w:val="605E5C"/>
      <w:shd w:val="clear" w:color="auto" w:fill="E1DFDD"/>
    </w:rPr>
  </w:style>
  <w:style w:type="character" w:customStyle="1" w:styleId="fontstyle21">
    <w:name w:val="fontstyle21"/>
    <w:basedOn w:val="Fontepargpadro"/>
    <w:rsid w:val="008320F1"/>
    <w:rPr>
      <w:rFonts w:ascii="Calibri-Bold" w:hAnsi="Calibri-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8944">
      <w:bodyDiv w:val="1"/>
      <w:marLeft w:val="0"/>
      <w:marRight w:val="0"/>
      <w:marTop w:val="0"/>
      <w:marBottom w:val="0"/>
      <w:divBdr>
        <w:top w:val="none" w:sz="0" w:space="0" w:color="auto"/>
        <w:left w:val="none" w:sz="0" w:space="0" w:color="auto"/>
        <w:bottom w:val="none" w:sz="0" w:space="0" w:color="auto"/>
        <w:right w:val="none" w:sz="0" w:space="0" w:color="auto"/>
      </w:divBdr>
    </w:div>
    <w:div w:id="115608347">
      <w:bodyDiv w:val="1"/>
      <w:marLeft w:val="0"/>
      <w:marRight w:val="0"/>
      <w:marTop w:val="0"/>
      <w:marBottom w:val="0"/>
      <w:divBdr>
        <w:top w:val="none" w:sz="0" w:space="0" w:color="auto"/>
        <w:left w:val="none" w:sz="0" w:space="0" w:color="auto"/>
        <w:bottom w:val="none" w:sz="0" w:space="0" w:color="auto"/>
        <w:right w:val="none" w:sz="0" w:space="0" w:color="auto"/>
      </w:divBdr>
    </w:div>
    <w:div w:id="232399535">
      <w:bodyDiv w:val="1"/>
      <w:marLeft w:val="0"/>
      <w:marRight w:val="0"/>
      <w:marTop w:val="0"/>
      <w:marBottom w:val="0"/>
      <w:divBdr>
        <w:top w:val="none" w:sz="0" w:space="0" w:color="auto"/>
        <w:left w:val="none" w:sz="0" w:space="0" w:color="auto"/>
        <w:bottom w:val="none" w:sz="0" w:space="0" w:color="auto"/>
        <w:right w:val="none" w:sz="0" w:space="0" w:color="auto"/>
      </w:divBdr>
    </w:div>
    <w:div w:id="303775457">
      <w:bodyDiv w:val="1"/>
      <w:marLeft w:val="0"/>
      <w:marRight w:val="0"/>
      <w:marTop w:val="0"/>
      <w:marBottom w:val="0"/>
      <w:divBdr>
        <w:top w:val="none" w:sz="0" w:space="0" w:color="auto"/>
        <w:left w:val="none" w:sz="0" w:space="0" w:color="auto"/>
        <w:bottom w:val="none" w:sz="0" w:space="0" w:color="auto"/>
        <w:right w:val="none" w:sz="0" w:space="0" w:color="auto"/>
      </w:divBdr>
    </w:div>
    <w:div w:id="846090940">
      <w:bodyDiv w:val="1"/>
      <w:marLeft w:val="0"/>
      <w:marRight w:val="0"/>
      <w:marTop w:val="0"/>
      <w:marBottom w:val="0"/>
      <w:divBdr>
        <w:top w:val="none" w:sz="0" w:space="0" w:color="auto"/>
        <w:left w:val="none" w:sz="0" w:space="0" w:color="auto"/>
        <w:bottom w:val="none" w:sz="0" w:space="0" w:color="auto"/>
        <w:right w:val="none" w:sz="0" w:space="0" w:color="auto"/>
      </w:divBdr>
    </w:div>
    <w:div w:id="1114442744">
      <w:bodyDiv w:val="1"/>
      <w:marLeft w:val="0"/>
      <w:marRight w:val="0"/>
      <w:marTop w:val="0"/>
      <w:marBottom w:val="0"/>
      <w:divBdr>
        <w:top w:val="none" w:sz="0" w:space="0" w:color="auto"/>
        <w:left w:val="none" w:sz="0" w:space="0" w:color="auto"/>
        <w:bottom w:val="none" w:sz="0" w:space="0" w:color="auto"/>
        <w:right w:val="none" w:sz="0" w:space="0" w:color="auto"/>
      </w:divBdr>
    </w:div>
    <w:div w:id="1577588674">
      <w:bodyDiv w:val="1"/>
      <w:marLeft w:val="0"/>
      <w:marRight w:val="0"/>
      <w:marTop w:val="0"/>
      <w:marBottom w:val="0"/>
      <w:divBdr>
        <w:top w:val="none" w:sz="0" w:space="0" w:color="auto"/>
        <w:left w:val="none" w:sz="0" w:space="0" w:color="auto"/>
        <w:bottom w:val="none" w:sz="0" w:space="0" w:color="auto"/>
        <w:right w:val="none" w:sz="0" w:space="0" w:color="auto"/>
      </w:divBdr>
    </w:div>
    <w:div w:id="1614051000">
      <w:bodyDiv w:val="1"/>
      <w:marLeft w:val="0"/>
      <w:marRight w:val="0"/>
      <w:marTop w:val="0"/>
      <w:marBottom w:val="0"/>
      <w:divBdr>
        <w:top w:val="none" w:sz="0" w:space="0" w:color="auto"/>
        <w:left w:val="none" w:sz="0" w:space="0" w:color="auto"/>
        <w:bottom w:val="none" w:sz="0" w:space="0" w:color="auto"/>
        <w:right w:val="none" w:sz="0" w:space="0" w:color="auto"/>
      </w:divBdr>
    </w:div>
    <w:div w:id="1662000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8F92-4C62-4275-9CFD-5F7D35E0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9</Pages>
  <Words>2648</Words>
  <Characters>14303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22</cp:revision>
  <cp:lastPrinted>2025-02-14T19:43:00Z</cp:lastPrinted>
  <dcterms:created xsi:type="dcterms:W3CDTF">2024-05-20T16:47:00Z</dcterms:created>
  <dcterms:modified xsi:type="dcterms:W3CDTF">2025-02-21T17:45:00Z</dcterms:modified>
</cp:coreProperties>
</file>