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108" w:right="1047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TÉCNICA – CIMAM</w:t>
      </w:r>
    </w:p>
    <w:p w:rsidR="00000000" w:rsidDel="00000000" w:rsidP="00000000" w:rsidRDefault="00000000" w:rsidRPr="00000000" w14:paraId="00000003">
      <w:pPr>
        <w:ind w:right="936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NT 02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936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(VERSÃO </w:t>
      </w:r>
      <w:r w:rsidDel="00000000" w:rsidR="00000000" w:rsidRPr="00000000">
        <w:rPr>
          <w:sz w:val="24"/>
          <w:szCs w:val="24"/>
          <w:rtl w:val="0"/>
        </w:rPr>
        <w:t xml:space="preserve">03/06/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106" w:right="1047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Orientações sobre a solicitação de Autorização de Uso de Matéria Prima Florestal – AUMPF 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1034" w:firstLine="1132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Instrução Normativa Ibama nº 6, de 7 de abril de 2009 (</w:t>
      </w:r>
      <w:hyperlink r:id="rId7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IN Ibama nº</w:t>
        </w:r>
      </w:hyperlink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6/2009</w:t>
        </w:r>
      </w:hyperlink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institucionalizou a Autorização de Utilização de Matéria-Prima Florestal (AUMPF) como o ato administrativo necessário ao aproveitamento de matéria-prima florestal oriunda de supressão de vegetação no âmbito de processo de licenciamento ambiental.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102" w:right="1038" w:firstLine="1132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 aproveitamento da matéria-prima florestal, o empreendedor detentor da </w:t>
      </w:r>
      <w:hyperlink r:id="rId9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Autorização de Supressão de Vegetação (ASV)</w:t>
        </w:r>
      </w:hyperlink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deverá solicitar a AUMPF junto ao CIMAM.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92"/>
          <w:tab w:val="left" w:leader="none" w:pos="1594"/>
          <w:tab w:val="left" w:leader="none" w:pos="1971"/>
          <w:tab w:val="left" w:leader="none" w:pos="3026"/>
          <w:tab w:val="left" w:leader="none" w:pos="3975"/>
          <w:tab w:val="left" w:leader="none" w:pos="4524"/>
          <w:tab w:val="left" w:leader="none" w:pos="5754"/>
          <w:tab w:val="left" w:leader="none" w:pos="6488"/>
          <w:tab w:val="left" w:leader="none" w:pos="6972"/>
          <w:tab w:val="left" w:leader="none" w:pos="8294"/>
        </w:tabs>
        <w:spacing w:after="0" w:before="0" w:line="360" w:lineRule="auto"/>
        <w:ind w:left="1594" w:right="1034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  <w:tab/>
        <w:t xml:space="preserve">AUMPF</w:t>
        <w:tab/>
        <w:t xml:space="preserve">deverá</w:t>
        <w:tab/>
        <w:t xml:space="preserve">ser</w:t>
        <w:tab/>
        <w:t xml:space="preserve">requerida</w:t>
        <w:tab/>
        <w:t xml:space="preserve">junto</w:t>
        <w:tab/>
        <w:t xml:space="preserve">ao</w:t>
        <w:tab/>
        <w:t xml:space="preserve">CIMAM,</w:t>
        <w:tab/>
        <w:t xml:space="preserve">via SINAFLOR, mediante a apresentação da seguinte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ocumentação: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4"/>
        </w:tabs>
        <w:spacing w:after="0" w:before="0" w:line="240" w:lineRule="auto"/>
        <w:ind w:left="1384" w:right="0" w:hanging="15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conforme Anexo I da </w:t>
      </w:r>
      <w:hyperlink r:id="rId10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IN Ibama nº 6/2009</w:t>
        </w:r>
      </w:hyperlink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138" w:line="240" w:lineRule="auto"/>
        <w:ind w:left="1374" w:right="0" w:hanging="14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1" w:type="default"/>
          <w:headerReference r:id="rId12" w:type="first"/>
          <w:headerReference r:id="rId13" w:type="even"/>
          <w:footerReference r:id="rId14" w:type="default"/>
          <w:footerReference r:id="rId15" w:type="first"/>
          <w:footerReference r:id="rId16" w:type="even"/>
          <w:pgSz w:h="16840" w:w="11910" w:orient="portrait"/>
          <w:pgMar w:bottom="280" w:top="1740" w:left="1600" w:right="660" w:header="720" w:footer="720"/>
          <w:pgNumType w:start="1"/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Romaneio da referida matéria-prima, conforme Anexo II da </w:t>
      </w:r>
      <w:hyperlink r:id="rId17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IN Ibama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720" w:lineRule="auto"/>
        <w:ind w:left="102" w:right="548.0314960629928" w:firstLine="0"/>
        <w:jc w:val="left"/>
        <w:rPr>
          <w:sz w:val="24"/>
          <w:szCs w:val="24"/>
        </w:rPr>
        <w:sectPr>
          <w:type w:val="continuous"/>
          <w:pgSz w:h="16840" w:w="11910" w:orient="portrait"/>
          <w:pgMar w:bottom="280" w:top="1740" w:left="1600" w:right="660" w:header="720" w:footer="720"/>
          <w:cols w:equalWidth="0" w:num="2">
            <w:col w:space="0" w:w="4822.74"/>
            <w:col w:space="0" w:w="4822.74"/>
          </w:cols>
        </w:sectPr>
      </w:pPr>
      <w:hyperlink r:id="rId18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nº 6/200</w:t>
        </w:r>
      </w:hyperlink>
      <w:r w:rsidDel="00000000" w:rsidR="00000000" w:rsidRPr="00000000">
        <w:rPr>
          <w:sz w:val="24"/>
          <w:szCs w:val="24"/>
          <w:rtl w:val="0"/>
        </w:rPr>
        <w:t xml:space="preserve">9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8"/>
        </w:tabs>
        <w:spacing w:after="0" w:before="1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Anotação de Responsabilidade Técnica emitida pelo respectivo</w:t>
      </w:r>
      <w:r w:rsidDel="00000000" w:rsidR="00000000" w:rsidRPr="00000000">
        <w:rPr>
          <w:sz w:val="24"/>
          <w:szCs w:val="24"/>
          <w:rtl w:val="0"/>
        </w:rPr>
        <w:t xml:space="preserve"> conselho;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</w:tabs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sobre o local em que se encontra a matéria-prima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florestal: nome, endereço (se for o caso) e coordenadas geográficas da sua localização.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360" w:lineRule="auto"/>
        <w:ind w:left="102" w:right="1042" w:firstLine="1132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740" w:left="1600" w:right="660" w:header="720" w:footer="720"/>
          <w:cols w:equalWidth="0" w:num="1">
            <w:col w:space="0" w:w="9645.5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solicitação da AUMPF deve ser cadastrada no SINAFLOR, vinculada à ASV previamente autorizada, e a documentação constante no item 1 desta NT deve ser enviada ao e-mail do técnico do CIMAM que analisou e autorizou a referida ASV (o e-mail para o qual deve ser enviado a documentação está anotado na respectiva ASV).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75" w:line="362" w:lineRule="auto"/>
        <w:ind w:left="102" w:right="1036" w:firstLine="1132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AUMPF terá validade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até 1 (um) ano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não poderá ser emitida após o vencimento da </w:t>
      </w:r>
      <w:hyperlink r:id="rId19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Autorização de Supressão de Vegetação (ASV)</w:t>
        </w:r>
      </w:hyperlink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515"/>
          <w:tab w:val="left" w:leader="none" w:pos="1888"/>
          <w:tab w:val="left" w:leader="none" w:pos="2492"/>
          <w:tab w:val="left" w:leader="none" w:pos="4032"/>
          <w:tab w:val="left" w:leader="none" w:pos="5104"/>
          <w:tab w:val="left" w:leader="none" w:pos="5778"/>
          <w:tab w:val="left" w:leader="none" w:pos="7274"/>
          <w:tab w:val="left" w:leader="none" w:pos="7747"/>
        </w:tabs>
        <w:spacing w:after="0" w:before="0" w:line="360" w:lineRule="auto"/>
        <w:ind w:left="102" w:right="1038" w:firstLine="1132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maiores esclarecimentos de como cadastrar uma solicitação de</w:t>
        <w:tab/>
        <w:t xml:space="preserve">AUMPF</w:t>
        <w:tab/>
        <w:t xml:space="preserve">no</w:t>
        <w:tab/>
        <w:t xml:space="preserve">SINAFLOR</w:t>
        <w:tab/>
        <w:t xml:space="preserve">deverá</w:t>
        <w:tab/>
        <w:t xml:space="preserve">ser</w:t>
        <w:tab/>
        <w:t xml:space="preserve">consultado</w:t>
        <w:tab/>
        <w:t xml:space="preserve">o</w:t>
        <w:tab/>
      </w: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Manual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20" w:left="1600" w:right="6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3239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Nauan Benedet Diretor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4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CIMAM</w:t>
      </w:r>
    </w:p>
    <w:p w:rsidR="00000000" w:rsidDel="00000000" w:rsidP="00000000" w:rsidRDefault="00000000" w:rsidRPr="00000000" w14:paraId="0000001F">
      <w:pPr>
        <w:spacing w:before="84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740" w:left="1600" w:right="660" w:header="720" w:footer="720"/>
      <w:cols w:equalWidth="0" w:num="3">
        <w:col w:space="39" w:w="3190.6666666666665"/>
        <w:col w:space="39" w:w="3190.6666666666665"/>
        <w:col w:space="0" w:w="3190.666666666666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rebuchet MS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82.15pt;height:467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-301624</wp:posOffset>
          </wp:positionH>
          <wp:positionV relativeFrom="paragraph">
            <wp:posOffset>0</wp:posOffset>
          </wp:positionV>
          <wp:extent cx="6127750" cy="93218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7750" cy="9321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82.15pt;height:467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82.15pt;height:467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594" w:hanging="360"/>
      </w:pPr>
      <w:rPr>
        <w:rFonts w:ascii="Arial MT" w:cs="Arial MT" w:eastAsia="Arial MT" w:hAnsi="Arial MT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385" w:hanging="151"/>
      </w:pPr>
      <w:rPr>
        <w:rFonts w:ascii="Arial MT" w:cs="Arial MT" w:eastAsia="Arial MT" w:hAnsi="Arial MT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494" w:hanging="151"/>
      </w:pPr>
      <w:rPr/>
    </w:lvl>
    <w:lvl w:ilvl="3">
      <w:start w:val="0"/>
      <w:numFmt w:val="bullet"/>
      <w:lvlText w:val="•"/>
      <w:lvlJc w:val="left"/>
      <w:pPr>
        <w:ind w:left="3388" w:hanging="151"/>
      </w:pPr>
      <w:rPr/>
    </w:lvl>
    <w:lvl w:ilvl="4">
      <w:start w:val="0"/>
      <w:numFmt w:val="bullet"/>
      <w:lvlText w:val="•"/>
      <w:lvlJc w:val="left"/>
      <w:pPr>
        <w:ind w:left="4282" w:hanging="151"/>
      </w:pPr>
      <w:rPr/>
    </w:lvl>
    <w:lvl w:ilvl="5">
      <w:start w:val="0"/>
      <w:numFmt w:val="bullet"/>
      <w:lvlText w:val="•"/>
      <w:lvlJc w:val="left"/>
      <w:pPr>
        <w:ind w:left="5176" w:hanging="151"/>
      </w:pPr>
      <w:rPr/>
    </w:lvl>
    <w:lvl w:ilvl="6">
      <w:start w:val="0"/>
      <w:numFmt w:val="bullet"/>
      <w:lvlText w:val="•"/>
      <w:lvlJc w:val="left"/>
      <w:pPr>
        <w:ind w:left="6070" w:hanging="151"/>
      </w:pPr>
      <w:rPr/>
    </w:lvl>
    <w:lvl w:ilvl="7">
      <w:start w:val="0"/>
      <w:numFmt w:val="bullet"/>
      <w:lvlText w:val="•"/>
      <w:lvlJc w:val="left"/>
      <w:pPr>
        <w:ind w:left="6964" w:hanging="151"/>
      </w:pPr>
      <w:rPr/>
    </w:lvl>
    <w:lvl w:ilvl="8">
      <w:start w:val="0"/>
      <w:numFmt w:val="bullet"/>
      <w:lvlText w:val="•"/>
      <w:lvlJc w:val="left"/>
      <w:pPr>
        <w:ind w:left="7858" w:hanging="151.0000000000009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02" w:firstLine="1132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8B7B3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B7B3C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8B7B3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B7B3C"/>
    <w:rPr>
      <w:rFonts w:ascii="Arial MT" w:cs="Arial MT" w:eastAsia="Arial MT" w:hAnsi="Arial MT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gov.br/ibama/pt-br/phocadownload/sinaflor/2018/ibama-manual-sinaflor-09-cad-autoriz-uso-materia-prima-florestal-aumpf.pdf/view" TargetMode="External"/><Relationship Id="rId11" Type="http://schemas.openxmlformats.org/officeDocument/2006/relationships/header" Target="header1.xml"/><Relationship Id="rId10" Type="http://schemas.openxmlformats.org/officeDocument/2006/relationships/hyperlink" Target="http://pesquisa.in.gov.br/imprensa/jsp/visualiza/index.jsp?jornal=1&amp;pagina=82&amp;data=08/04/2009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bama.gov.br/autorizacoes/flora/supressao-de-vegetacao-asv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7" Type="http://schemas.openxmlformats.org/officeDocument/2006/relationships/hyperlink" Target="http://pesquisa.in.gov.br/imprensa/jsp/visualiza/index.jsp?jornal=1&amp;pagina=82&amp;data=08/04/2009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19" Type="http://schemas.openxmlformats.org/officeDocument/2006/relationships/hyperlink" Target="https://www.gov.br/ibama/pt-br/servicos/autorizacoes/flora/asv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pesquisa.in.gov.br/imprensa/jsp/visualiza/index.jsp?jornal=1&amp;pagina=82&amp;data=08/04/2009" TargetMode="External"/><Relationship Id="rId7" Type="http://schemas.openxmlformats.org/officeDocument/2006/relationships/hyperlink" Target="http://pesquisa.in.gov.br/imprensa/jsp/visualiza/index.jsp?jornal=1&amp;pagina=82&amp;data=08/04/2009" TargetMode="External"/><Relationship Id="rId8" Type="http://schemas.openxmlformats.org/officeDocument/2006/relationships/hyperlink" Target="http://pesquisa.in.gov.br/imprensa/jsp/visualiza/index.jsp?jornal=1&amp;pagina=82&amp;data=08/04/2009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0kkdnYbQ0du6fCwy1dCagliog==">CgMxLjA4AHIhMUd0T250OGdPY2M1WXlxbkR2QndHSWNjQVRJUk1fVElT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2024-05-17T18:13:00Z</dcterms:created>
  <dc:creator>Cliente Especial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2016</vt:lpwstr>
  </property>
</Properties>
</file>