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241E7E1" w14:textId="77777777" w:rsidR="00D04576" w:rsidRDefault="00D04576" w:rsidP="00D04576">
      <w:pPr>
        <w:pStyle w:val="Default"/>
      </w:pPr>
    </w:p>
    <w:p w14:paraId="1569941C" w14:textId="77777777" w:rsidR="00D04576" w:rsidRPr="00CB15F3" w:rsidRDefault="00D04576" w:rsidP="00CB15F3">
      <w:pPr>
        <w:pStyle w:val="Default"/>
        <w:jc w:val="center"/>
        <w:rPr>
          <w:sz w:val="23"/>
          <w:szCs w:val="23"/>
        </w:rPr>
      </w:pPr>
      <w:r w:rsidRPr="00CB15F3">
        <w:rPr>
          <w:b/>
          <w:bCs/>
          <w:sz w:val="23"/>
          <w:szCs w:val="23"/>
        </w:rPr>
        <w:t>PARECER JURIDICO</w:t>
      </w:r>
    </w:p>
    <w:p w14:paraId="0E63A2D5" w14:textId="694FFA0B" w:rsidR="00D04576" w:rsidRPr="00CB15F3" w:rsidRDefault="002C6BE8" w:rsidP="00CB15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PROCESSO LICITATÓRIO Nº 0</w:t>
      </w:r>
      <w:r w:rsidR="0014741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/2023</w:t>
      </w:r>
    </w:p>
    <w:p w14:paraId="1F6A82BF" w14:textId="5D962322" w:rsidR="00D04576" w:rsidRPr="00CB15F3" w:rsidRDefault="002C6BE8" w:rsidP="00CB15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DISPENSA DE LICTAÇÃO Nº 0</w:t>
      </w:r>
      <w:r w:rsidR="0014741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/2023</w:t>
      </w:r>
    </w:p>
    <w:p w14:paraId="5426AA29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</w:p>
    <w:p w14:paraId="6A5AB963" w14:textId="77777777" w:rsidR="00D04576" w:rsidRDefault="00D04576" w:rsidP="00D04576">
      <w:pPr>
        <w:pStyle w:val="Default"/>
        <w:rPr>
          <w:sz w:val="23"/>
          <w:szCs w:val="23"/>
        </w:rPr>
      </w:pPr>
    </w:p>
    <w:p w14:paraId="35870AA5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ASSUNTO: </w:t>
      </w:r>
    </w:p>
    <w:p w14:paraId="18B02333" w14:textId="77777777" w:rsidR="00D04576" w:rsidRDefault="00D04576" w:rsidP="00D04576">
      <w:pPr>
        <w:pStyle w:val="Default"/>
        <w:rPr>
          <w:sz w:val="23"/>
          <w:szCs w:val="23"/>
        </w:rPr>
      </w:pPr>
    </w:p>
    <w:p w14:paraId="179814C8" w14:textId="516FC869" w:rsidR="00CD429B" w:rsidRPr="00CD429B" w:rsidRDefault="00D04576" w:rsidP="00CD429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Dispensa de licitação para</w:t>
      </w:r>
      <w:r w:rsidR="00A54183" w:rsidRPr="00064B9F">
        <w:rPr>
          <w:sz w:val="23"/>
          <w:szCs w:val="23"/>
        </w:rPr>
        <w:t xml:space="preserve"> contratação de empresa </w:t>
      </w:r>
      <w:r w:rsidR="00CD429B" w:rsidRPr="00CD429B">
        <w:rPr>
          <w:sz w:val="23"/>
          <w:szCs w:val="23"/>
        </w:rPr>
        <w:t xml:space="preserve">especializada para prestação de serviços de monitoramento de imagens por câmeras de segurança na usina de britagem do CIMAM, bem como </w:t>
      </w:r>
      <w:r w:rsidR="00DB6D13">
        <w:rPr>
          <w:sz w:val="23"/>
          <w:szCs w:val="23"/>
        </w:rPr>
        <w:t>realização de</w:t>
      </w:r>
      <w:r w:rsidR="00CD429B" w:rsidRPr="00CD429B">
        <w:rPr>
          <w:sz w:val="23"/>
          <w:szCs w:val="23"/>
        </w:rPr>
        <w:t xml:space="preserve"> ronda preventiva na usina de britagem e na área de extração de pedras, ambas localizadas na Rua Industrial, Bairro Industrial, no município de Novo Horizonte-SC.</w:t>
      </w:r>
    </w:p>
    <w:p w14:paraId="0A6E6C47" w14:textId="4061F454" w:rsidR="0014741E" w:rsidRPr="00064B9F" w:rsidRDefault="0014741E" w:rsidP="00A54183">
      <w:pPr>
        <w:pStyle w:val="Default"/>
        <w:jc w:val="both"/>
        <w:rPr>
          <w:b/>
          <w:bCs/>
          <w:sz w:val="23"/>
          <w:szCs w:val="23"/>
        </w:rPr>
      </w:pPr>
    </w:p>
    <w:p w14:paraId="1013CD26" w14:textId="77777777" w:rsidR="0014741E" w:rsidRDefault="0014741E" w:rsidP="00D04576">
      <w:pPr>
        <w:pStyle w:val="Default"/>
        <w:rPr>
          <w:b/>
          <w:bCs/>
          <w:sz w:val="23"/>
          <w:szCs w:val="23"/>
        </w:rPr>
      </w:pPr>
    </w:p>
    <w:p w14:paraId="7D8CD638" w14:textId="1E5A7A55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RELATÓRIO: </w:t>
      </w:r>
    </w:p>
    <w:p w14:paraId="1F030B78" w14:textId="77777777" w:rsidR="00D04576" w:rsidRDefault="00D04576" w:rsidP="00D04576">
      <w:pPr>
        <w:pStyle w:val="Default"/>
        <w:rPr>
          <w:sz w:val="23"/>
          <w:szCs w:val="23"/>
        </w:rPr>
      </w:pPr>
    </w:p>
    <w:p w14:paraId="52DBCE70" w14:textId="1988C14D" w:rsidR="00D04576" w:rsidRPr="00A54183" w:rsidRDefault="00D04576" w:rsidP="00A5418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Vem ao exame dessa Assessoria Jurídica, na forma do art. 38, VI e parágrafo único da Le</w:t>
      </w:r>
      <w:r w:rsidR="00CC4E6F">
        <w:rPr>
          <w:sz w:val="23"/>
          <w:szCs w:val="23"/>
        </w:rPr>
        <w:t>i 8666/93, o presente processo licitatório</w:t>
      </w:r>
      <w:r>
        <w:rPr>
          <w:sz w:val="23"/>
          <w:szCs w:val="23"/>
        </w:rPr>
        <w:t xml:space="preserve">, que visa à contratação da empresa </w:t>
      </w:r>
      <w:r w:rsidR="0014741E" w:rsidRPr="009F44F8">
        <w:rPr>
          <w:rFonts w:ascii="Times New Roman" w:hAnsi="Times New Roman" w:cs="Times New Roman"/>
          <w:b/>
          <w:bCs/>
          <w:sz w:val="22"/>
          <w:szCs w:val="22"/>
        </w:rPr>
        <w:t>GELSON BARICHELLO CARVALHO</w:t>
      </w:r>
      <w:r w:rsidR="0014741E">
        <w:rPr>
          <w:rFonts w:ascii="Times New Roman" w:hAnsi="Times New Roman" w:cs="Times New Roman"/>
          <w:b/>
          <w:bCs/>
          <w:sz w:val="22"/>
          <w:szCs w:val="22"/>
        </w:rPr>
        <w:t xml:space="preserve"> ME (FORMOSEGUR), </w:t>
      </w:r>
      <w:r w:rsidR="00A54183" w:rsidRPr="00BD10F5">
        <w:rPr>
          <w:sz w:val="23"/>
          <w:szCs w:val="23"/>
        </w:rPr>
        <w:t xml:space="preserve">pessoa jurídica de direito privado, inscrita no CNPJ </w:t>
      </w:r>
      <w:r w:rsidR="0014741E">
        <w:rPr>
          <w:sz w:val="23"/>
          <w:szCs w:val="23"/>
        </w:rPr>
        <w:t>N</w:t>
      </w:r>
      <w:r w:rsidR="00A54183" w:rsidRPr="00BD10F5">
        <w:rPr>
          <w:sz w:val="23"/>
          <w:szCs w:val="23"/>
        </w:rPr>
        <w:t xml:space="preserve">º </w:t>
      </w:r>
      <w:r w:rsidR="0014741E" w:rsidRPr="0014741E">
        <w:rPr>
          <w:sz w:val="23"/>
          <w:szCs w:val="23"/>
        </w:rPr>
        <w:t>22.497.826/0001-40</w:t>
      </w:r>
      <w:r w:rsidR="00CB15F3" w:rsidRPr="00BD10F5">
        <w:rPr>
          <w:sz w:val="23"/>
          <w:szCs w:val="23"/>
        </w:rPr>
        <w:t xml:space="preserve">, </w:t>
      </w:r>
      <w:r w:rsidR="00CC4E6F" w:rsidRPr="00BD10F5">
        <w:rPr>
          <w:sz w:val="23"/>
          <w:szCs w:val="23"/>
        </w:rPr>
        <w:t xml:space="preserve">pelo </w:t>
      </w:r>
      <w:r w:rsidR="00CB15F3">
        <w:rPr>
          <w:sz w:val="23"/>
          <w:szCs w:val="23"/>
        </w:rPr>
        <w:t xml:space="preserve">CIMAM - </w:t>
      </w:r>
      <w:r>
        <w:rPr>
          <w:sz w:val="23"/>
          <w:szCs w:val="23"/>
        </w:rPr>
        <w:t>Consórcio Intermunicipal</w:t>
      </w:r>
      <w:r w:rsidR="00CB15F3">
        <w:rPr>
          <w:sz w:val="23"/>
          <w:szCs w:val="23"/>
        </w:rPr>
        <w:t xml:space="preserve"> Multifinalitário da AMNOROESTE.</w:t>
      </w:r>
      <w:r>
        <w:rPr>
          <w:sz w:val="23"/>
          <w:szCs w:val="23"/>
        </w:rPr>
        <w:t xml:space="preserve"> </w:t>
      </w:r>
    </w:p>
    <w:p w14:paraId="558B8257" w14:textId="77777777" w:rsidR="00D04576" w:rsidRDefault="00D04576" w:rsidP="00D04576">
      <w:pPr>
        <w:pStyle w:val="Default"/>
        <w:rPr>
          <w:sz w:val="23"/>
          <w:szCs w:val="23"/>
        </w:rPr>
      </w:pPr>
    </w:p>
    <w:p w14:paraId="641433C5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FUNDAMENTAÇÃO: </w:t>
      </w:r>
    </w:p>
    <w:p w14:paraId="7613098B" w14:textId="77777777" w:rsidR="00D04576" w:rsidRDefault="00D04576" w:rsidP="00D04576">
      <w:pPr>
        <w:pStyle w:val="Default"/>
        <w:rPr>
          <w:sz w:val="23"/>
          <w:szCs w:val="23"/>
        </w:rPr>
      </w:pPr>
    </w:p>
    <w:p w14:paraId="536218CC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Sabe-se que o Parecer Jurídico em Processos Licitatórios cumpre a função de análise à legalidade do</w:t>
      </w:r>
      <w:r w:rsidR="00CB15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procedimento, bem como os pressupostos formais da contratação, ou seja, avaliar a compatibilidade dos atos administrativos produzidos no processo de contratação pública com o sistema jurídico vigente. Desta forma, a conveniência </w:t>
      </w:r>
      <w:r w:rsidR="00CC4E6F">
        <w:rPr>
          <w:sz w:val="23"/>
          <w:szCs w:val="23"/>
        </w:rPr>
        <w:t xml:space="preserve">ou a motivação </w:t>
      </w:r>
      <w:r>
        <w:rPr>
          <w:sz w:val="23"/>
          <w:szCs w:val="23"/>
        </w:rPr>
        <w:t xml:space="preserve">da realização de determinada contratação fica a cargo do Gestor Público, ordenador das despesas. </w:t>
      </w:r>
    </w:p>
    <w:p w14:paraId="755E3B53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3B16CA9A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Constituição da República, em seu artigo 37, XXI, prevê a obrigatoriedade de licitação para as contratações realizadas pela Administração Pública: </w:t>
      </w:r>
      <w:r w:rsidR="00CC4E6F">
        <w:rPr>
          <w:sz w:val="23"/>
          <w:szCs w:val="23"/>
        </w:rPr>
        <w:t>Na legislação infraconstitucional a Lei n. 8.666, de 21 de junho de 1993, rege a contratação pela Administração.</w:t>
      </w:r>
    </w:p>
    <w:p w14:paraId="74673BB3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376A465A" w14:textId="77777777" w:rsidR="00CB15F3" w:rsidRDefault="00FF54BD" w:rsidP="00CB15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Assim, sabe-se que a regra é a contratação por meio licitação, sendo exceção a dispenda e a inexigibilidade, na hipótese trazidas na própria lei</w:t>
      </w:r>
    </w:p>
    <w:p w14:paraId="0319BC25" w14:textId="77777777" w:rsidR="00FF54BD" w:rsidRDefault="00FF54BD" w:rsidP="00CB15F3">
      <w:pPr>
        <w:pStyle w:val="Default"/>
        <w:jc w:val="both"/>
        <w:rPr>
          <w:sz w:val="23"/>
          <w:szCs w:val="23"/>
        </w:rPr>
      </w:pPr>
    </w:p>
    <w:p w14:paraId="0D539BEE" w14:textId="77777777" w:rsidR="00D04576" w:rsidRDefault="00D04576" w:rsidP="00D074C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dispensa de licitação </w:t>
      </w:r>
      <w:r w:rsidR="00461248">
        <w:rPr>
          <w:sz w:val="23"/>
          <w:szCs w:val="23"/>
        </w:rPr>
        <w:t>encontra</w:t>
      </w:r>
      <w:r w:rsidR="00FF54BD">
        <w:rPr>
          <w:sz w:val="23"/>
          <w:szCs w:val="23"/>
        </w:rPr>
        <w:t xml:space="preserve"> previsão no</w:t>
      </w:r>
      <w:r w:rsidR="00461248">
        <w:rPr>
          <w:sz w:val="23"/>
          <w:szCs w:val="23"/>
        </w:rPr>
        <w:t xml:space="preserve"> artigo 24, da Lei 8.666/93. No caso em apreço, tendo em </w:t>
      </w:r>
      <w:r>
        <w:rPr>
          <w:sz w:val="23"/>
          <w:szCs w:val="23"/>
        </w:rPr>
        <w:t xml:space="preserve">em vista </w:t>
      </w:r>
      <w:r>
        <w:rPr>
          <w:b/>
          <w:bCs/>
          <w:sz w:val="23"/>
          <w:szCs w:val="23"/>
        </w:rPr>
        <w:t>o valor da contratação</w:t>
      </w:r>
      <w:r>
        <w:rPr>
          <w:sz w:val="23"/>
          <w:szCs w:val="23"/>
        </w:rPr>
        <w:t xml:space="preserve">, a aquisição poderá ser realizada por dispensa </w:t>
      </w:r>
      <w:r w:rsidR="00D074CD">
        <w:rPr>
          <w:sz w:val="23"/>
          <w:szCs w:val="23"/>
        </w:rPr>
        <w:t xml:space="preserve">na forma do disposto </w:t>
      </w:r>
      <w:r>
        <w:rPr>
          <w:sz w:val="23"/>
          <w:szCs w:val="23"/>
        </w:rPr>
        <w:t xml:space="preserve">no art. 24, inciso II, da Lei 8.666/93, que assim dispõe: </w:t>
      </w:r>
    </w:p>
    <w:p w14:paraId="5B91ADB0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7EC11A8E" w14:textId="77777777" w:rsidR="00D04576" w:rsidRDefault="00D04576" w:rsidP="00FF54BD">
      <w:pPr>
        <w:pStyle w:val="Default"/>
        <w:ind w:left="708"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24. É dispensável a licitação: </w:t>
      </w:r>
    </w:p>
    <w:p w14:paraId="5124C481" w14:textId="77777777" w:rsidR="00D04576" w:rsidRDefault="00D04576" w:rsidP="00FF54BD">
      <w:pPr>
        <w:pStyle w:val="Default"/>
        <w:ind w:left="708"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(...) </w:t>
      </w:r>
    </w:p>
    <w:p w14:paraId="0A9359B7" w14:textId="77777777" w:rsidR="00D04576" w:rsidRDefault="00D04576" w:rsidP="00FF54BD">
      <w:pPr>
        <w:pStyle w:val="Default"/>
        <w:ind w:left="141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6AB64D52" w14:textId="30F0242D" w:rsidR="00CB15F3" w:rsidRDefault="00D04576" w:rsidP="00FF54B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Imperar registrar que para fins de estipulação de valor, tratando-se de consórcio público, há que se atentar para o previsto no § 8º, do artigo 23 do qual se extrai que aplicar-se-á o dobro dos valores previsto no caput do artigo 23 quando o consórcio for formado por até 03 (três) entes da federação e o triplo quando formado por </w:t>
      </w:r>
      <w:r>
        <w:rPr>
          <w:sz w:val="23"/>
          <w:szCs w:val="23"/>
        </w:rPr>
        <w:lastRenderedPageBreak/>
        <w:t>número maior (</w:t>
      </w:r>
      <w:r>
        <w:rPr>
          <w:i/>
          <w:iCs/>
          <w:sz w:val="23"/>
          <w:szCs w:val="23"/>
        </w:rPr>
        <w:t xml:space="preserve">in casu, </w:t>
      </w:r>
      <w:r>
        <w:rPr>
          <w:sz w:val="23"/>
          <w:szCs w:val="23"/>
        </w:rPr>
        <w:t>o C</w:t>
      </w:r>
      <w:r w:rsidR="00FF54BD">
        <w:rPr>
          <w:sz w:val="23"/>
          <w:szCs w:val="23"/>
        </w:rPr>
        <w:t>IMAM</w:t>
      </w:r>
      <w:r>
        <w:rPr>
          <w:sz w:val="23"/>
          <w:szCs w:val="23"/>
        </w:rPr>
        <w:t xml:space="preserve"> é constituído por </w:t>
      </w:r>
      <w:r w:rsidR="00FF54BD">
        <w:rPr>
          <w:sz w:val="23"/>
          <w:szCs w:val="23"/>
        </w:rPr>
        <w:t xml:space="preserve">08 </w:t>
      </w:r>
      <w:r>
        <w:rPr>
          <w:sz w:val="23"/>
          <w:szCs w:val="23"/>
        </w:rPr>
        <w:t>municípios).</w:t>
      </w:r>
      <w:r w:rsidR="00FF54BD">
        <w:rPr>
          <w:sz w:val="23"/>
          <w:szCs w:val="23"/>
        </w:rPr>
        <w:t xml:space="preserve"> Além disso, nos termos do Decreto Federal 9.412/2018, o valor previsto na alínea “a” do inciso II do Art. 23 da Lei 8.666/93 fora atualizado para R$176.000,00</w:t>
      </w:r>
      <w:r w:rsidR="0014741E">
        <w:rPr>
          <w:sz w:val="23"/>
          <w:szCs w:val="23"/>
        </w:rPr>
        <w:t>.</w:t>
      </w:r>
    </w:p>
    <w:p w14:paraId="6EC130C8" w14:textId="77777777" w:rsidR="00FF54BD" w:rsidRDefault="00FF54BD" w:rsidP="00FF54BD">
      <w:pPr>
        <w:pStyle w:val="Default"/>
        <w:ind w:firstLine="708"/>
        <w:jc w:val="both"/>
        <w:rPr>
          <w:sz w:val="23"/>
          <w:szCs w:val="23"/>
        </w:rPr>
      </w:pPr>
    </w:p>
    <w:p w14:paraId="04795B60" w14:textId="7D135F09" w:rsidR="00FF54BD" w:rsidRDefault="00FF54BD" w:rsidP="00FF54B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Dessa forma tem-se que a dispensa de licitação com amparo no Art. 24, II encontra limite legal n</w:t>
      </w:r>
      <w:r w:rsidR="00A54183">
        <w:rPr>
          <w:sz w:val="23"/>
          <w:szCs w:val="23"/>
        </w:rPr>
        <w:t>o</w:t>
      </w:r>
      <w:r>
        <w:rPr>
          <w:sz w:val="23"/>
          <w:szCs w:val="23"/>
        </w:rPr>
        <w:t xml:space="preserve"> valor de R$ 52.800,00 o caso do consorcio público em questão. </w:t>
      </w:r>
    </w:p>
    <w:p w14:paraId="7A36B928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1D689F9A" w14:textId="467A4CB4" w:rsidR="00064B9F" w:rsidRDefault="00CC4E6F" w:rsidP="00064B9F">
      <w:pPr>
        <w:pStyle w:val="Default"/>
        <w:ind w:firstLine="708"/>
        <w:jc w:val="both"/>
        <w:rPr>
          <w:sz w:val="23"/>
          <w:szCs w:val="23"/>
        </w:rPr>
      </w:pPr>
      <w:r w:rsidRPr="00064B9F">
        <w:rPr>
          <w:sz w:val="23"/>
          <w:szCs w:val="23"/>
        </w:rPr>
        <w:t>C</w:t>
      </w:r>
      <w:r w:rsidR="00D04576" w:rsidRPr="00064B9F">
        <w:rPr>
          <w:sz w:val="23"/>
          <w:szCs w:val="23"/>
        </w:rPr>
        <w:t>onforme consta do presente procedimento de dispensa de licitação, o valor a ser pago pelos serviços</w:t>
      </w:r>
      <w:r w:rsidR="00064B9F">
        <w:rPr>
          <w:sz w:val="23"/>
          <w:szCs w:val="23"/>
        </w:rPr>
        <w:t xml:space="preserve"> de monitoramento eletrônico</w:t>
      </w:r>
      <w:r w:rsidR="00D04576" w:rsidRPr="00064B9F">
        <w:rPr>
          <w:sz w:val="23"/>
          <w:szCs w:val="23"/>
        </w:rPr>
        <w:t xml:space="preserve"> </w:t>
      </w:r>
      <w:r w:rsidR="0014741E" w:rsidRPr="00064B9F">
        <w:rPr>
          <w:sz w:val="23"/>
          <w:szCs w:val="23"/>
        </w:rPr>
        <w:t>é</w:t>
      </w:r>
      <w:r w:rsidR="00064B9F" w:rsidRPr="00064B9F">
        <w:rPr>
          <w:sz w:val="23"/>
          <w:szCs w:val="23"/>
        </w:rPr>
        <w:t xml:space="preserve"> de</w:t>
      </w:r>
      <w:r w:rsidR="0014741E" w:rsidRPr="00064B9F">
        <w:rPr>
          <w:sz w:val="23"/>
          <w:szCs w:val="23"/>
        </w:rPr>
        <w:t xml:space="preserve"> </w:t>
      </w:r>
      <w:r w:rsidR="00D04576" w:rsidRPr="00064B9F">
        <w:rPr>
          <w:b/>
          <w:bCs/>
          <w:sz w:val="23"/>
          <w:szCs w:val="23"/>
        </w:rPr>
        <w:t xml:space="preserve">R$ </w:t>
      </w:r>
      <w:r w:rsidR="0014741E" w:rsidRPr="00064B9F">
        <w:rPr>
          <w:b/>
          <w:bCs/>
          <w:sz w:val="23"/>
          <w:szCs w:val="23"/>
        </w:rPr>
        <w:t>250</w:t>
      </w:r>
      <w:r w:rsidR="00A54183" w:rsidRPr="00064B9F">
        <w:rPr>
          <w:b/>
          <w:bCs/>
          <w:sz w:val="23"/>
          <w:szCs w:val="23"/>
        </w:rPr>
        <w:t>,00</w:t>
      </w:r>
      <w:r w:rsidR="00D04576" w:rsidRPr="00064B9F">
        <w:rPr>
          <w:b/>
          <w:bCs/>
          <w:sz w:val="23"/>
          <w:szCs w:val="23"/>
        </w:rPr>
        <w:t xml:space="preserve"> (</w:t>
      </w:r>
      <w:r w:rsidR="0014741E" w:rsidRPr="00064B9F">
        <w:rPr>
          <w:b/>
          <w:bCs/>
          <w:sz w:val="23"/>
          <w:szCs w:val="23"/>
        </w:rPr>
        <w:t>duzentos</w:t>
      </w:r>
      <w:r w:rsidR="00A54183" w:rsidRPr="00064B9F">
        <w:rPr>
          <w:b/>
          <w:bCs/>
          <w:sz w:val="23"/>
          <w:szCs w:val="23"/>
        </w:rPr>
        <w:t xml:space="preserve"> e cinquenta</w:t>
      </w:r>
      <w:r w:rsidR="00D04576" w:rsidRPr="00064B9F">
        <w:rPr>
          <w:b/>
          <w:bCs/>
          <w:sz w:val="23"/>
          <w:szCs w:val="23"/>
        </w:rPr>
        <w:t xml:space="preserve"> reais) </w:t>
      </w:r>
      <w:r w:rsidR="0014741E" w:rsidRPr="00F85A47">
        <w:rPr>
          <w:sz w:val="23"/>
          <w:szCs w:val="23"/>
        </w:rPr>
        <w:t>mensais</w:t>
      </w:r>
      <w:r w:rsidR="00A86917" w:rsidRPr="00F85A47">
        <w:t>,</w:t>
      </w:r>
      <w:r w:rsidR="00A86917" w:rsidRPr="00FB2676">
        <w:rPr>
          <w:bCs/>
        </w:rPr>
        <w:t xml:space="preserve"> pelo período de 04(quatro) meses,</w:t>
      </w:r>
      <w:r w:rsidR="00A86917">
        <w:rPr>
          <w:bCs/>
        </w:rPr>
        <w:t xml:space="preserve"> compreendendo os meses de setembro a dezembro de 2023</w:t>
      </w:r>
      <w:r w:rsidR="00770A65">
        <w:rPr>
          <w:bCs/>
        </w:rPr>
        <w:t xml:space="preserve"> e</w:t>
      </w:r>
      <w:r w:rsidR="00A86917" w:rsidRPr="00FB2676">
        <w:rPr>
          <w:bCs/>
        </w:rPr>
        <w:t xml:space="preserve"> totalizando R$ 1.</w:t>
      </w:r>
      <w:r w:rsidR="00A86917">
        <w:rPr>
          <w:bCs/>
        </w:rPr>
        <w:t>000,00</w:t>
      </w:r>
      <w:r w:rsidR="00A86917" w:rsidRPr="00FB2676">
        <w:rPr>
          <w:bCs/>
        </w:rPr>
        <w:t xml:space="preserve"> (mil reais)</w:t>
      </w:r>
      <w:r w:rsidR="00770A65">
        <w:rPr>
          <w:bCs/>
        </w:rPr>
        <w:t>. V</w:t>
      </w:r>
      <w:r w:rsidR="00064B9F" w:rsidRPr="00064B9F">
        <w:rPr>
          <w:sz w:val="23"/>
          <w:szCs w:val="23"/>
        </w:rPr>
        <w:t>alor este que se mostra compatível com os</w:t>
      </w:r>
      <w:r w:rsidR="00064B9F">
        <w:rPr>
          <w:sz w:val="23"/>
          <w:szCs w:val="23"/>
        </w:rPr>
        <w:t xml:space="preserve"> </w:t>
      </w:r>
      <w:r w:rsidR="00064B9F" w:rsidRPr="00064B9F">
        <w:rPr>
          <w:sz w:val="23"/>
          <w:szCs w:val="23"/>
        </w:rPr>
        <w:t>limites previstos no Art. 24, II da Lei 8.666/93, na forma acima exposta.</w:t>
      </w:r>
    </w:p>
    <w:p w14:paraId="6CD67F54" w14:textId="51BF8853" w:rsidR="00064B9F" w:rsidRDefault="00064B9F" w:rsidP="00CC4E6F">
      <w:pPr>
        <w:pStyle w:val="Default"/>
        <w:ind w:firstLine="708"/>
        <w:jc w:val="both"/>
        <w:rPr>
          <w:sz w:val="23"/>
          <w:szCs w:val="23"/>
        </w:rPr>
      </w:pPr>
    </w:p>
    <w:p w14:paraId="6B0844C1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Deve-se, todavia, esclarecer que para ser possível a contratação direta por dispensa de licitação no presente caso, substancial a demonstração de que o valor contratado é equivalente ao praticado no mercado. </w:t>
      </w:r>
    </w:p>
    <w:p w14:paraId="374296BA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109D25BB" w14:textId="77777777" w:rsidR="00D04576" w:rsidRDefault="00D04576" w:rsidP="00CB15F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CONCLUSÃO: </w:t>
      </w:r>
    </w:p>
    <w:p w14:paraId="77BD2756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2E9AF51F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Uma vez adotadas as providências assinaladas e se abstendo da apreciação dos aspectos inerentes à conveniência e oportunidade mencionados acima, opina-se pela formalização do processo de contratação direta, com dispensa de licitação, nos termos do artigo 2</w:t>
      </w:r>
      <w:r w:rsidR="002C6BE8">
        <w:rPr>
          <w:sz w:val="23"/>
          <w:szCs w:val="23"/>
        </w:rPr>
        <w:t>4, II e artigo 23, parágrafo 8º da Lei nº 8.666/93.</w:t>
      </w:r>
    </w:p>
    <w:p w14:paraId="09BA68E0" w14:textId="77777777" w:rsidR="00D04576" w:rsidRDefault="00D04576" w:rsidP="00D04576">
      <w:pPr>
        <w:pStyle w:val="Default"/>
        <w:rPr>
          <w:sz w:val="23"/>
          <w:szCs w:val="23"/>
        </w:rPr>
      </w:pPr>
    </w:p>
    <w:p w14:paraId="4F561F35" w14:textId="77777777" w:rsidR="00D04576" w:rsidRDefault="002C6BE8" w:rsidP="00CC4E6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É</w:t>
      </w:r>
      <w:r w:rsidR="00CC4E6F">
        <w:rPr>
          <w:sz w:val="23"/>
          <w:szCs w:val="23"/>
        </w:rPr>
        <w:t xml:space="preserve"> o parecer, salvo juízo diverso.</w:t>
      </w:r>
    </w:p>
    <w:p w14:paraId="35F8192F" w14:textId="77777777" w:rsidR="00D04576" w:rsidRDefault="00D04576" w:rsidP="00D04576">
      <w:pPr>
        <w:pStyle w:val="Default"/>
        <w:rPr>
          <w:sz w:val="23"/>
          <w:szCs w:val="23"/>
        </w:rPr>
      </w:pPr>
    </w:p>
    <w:p w14:paraId="09EAED41" w14:textId="6028E38F" w:rsidR="00D04576" w:rsidRDefault="00D04576" w:rsidP="00CC4E6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São </w:t>
      </w:r>
      <w:r w:rsidR="00CB15F3">
        <w:rPr>
          <w:sz w:val="23"/>
          <w:szCs w:val="23"/>
        </w:rPr>
        <w:t>Lourenço</w:t>
      </w:r>
      <w:r>
        <w:rPr>
          <w:sz w:val="23"/>
          <w:szCs w:val="23"/>
        </w:rPr>
        <w:t xml:space="preserve"> do Oeste, </w:t>
      </w:r>
      <w:r w:rsidR="000353B4">
        <w:rPr>
          <w:sz w:val="23"/>
          <w:szCs w:val="23"/>
        </w:rPr>
        <w:t>01</w:t>
      </w:r>
      <w:r w:rsidR="002C6BE8" w:rsidRPr="00A86917">
        <w:rPr>
          <w:sz w:val="23"/>
          <w:szCs w:val="23"/>
        </w:rPr>
        <w:t xml:space="preserve"> de </w:t>
      </w:r>
      <w:r w:rsidR="000353B4">
        <w:rPr>
          <w:sz w:val="23"/>
          <w:szCs w:val="23"/>
        </w:rPr>
        <w:t>Setembro</w:t>
      </w:r>
      <w:r w:rsidR="002C6BE8" w:rsidRPr="00A86917">
        <w:rPr>
          <w:sz w:val="23"/>
          <w:szCs w:val="23"/>
        </w:rPr>
        <w:t xml:space="preserve"> de 2023.</w:t>
      </w:r>
      <w:r>
        <w:rPr>
          <w:sz w:val="23"/>
          <w:szCs w:val="23"/>
        </w:rPr>
        <w:t xml:space="preserve"> </w:t>
      </w:r>
    </w:p>
    <w:p w14:paraId="149C8D8A" w14:textId="77777777" w:rsidR="00CB15F3" w:rsidRDefault="00CB15F3" w:rsidP="00D04576">
      <w:pPr>
        <w:pStyle w:val="Default"/>
        <w:rPr>
          <w:sz w:val="23"/>
          <w:szCs w:val="23"/>
        </w:rPr>
      </w:pPr>
    </w:p>
    <w:p w14:paraId="54EEA014" w14:textId="77777777" w:rsidR="00D04576" w:rsidRDefault="00D04576" w:rsidP="00D04576">
      <w:pPr>
        <w:pStyle w:val="Default"/>
        <w:rPr>
          <w:sz w:val="23"/>
          <w:szCs w:val="23"/>
        </w:rPr>
      </w:pPr>
    </w:p>
    <w:p w14:paraId="617FFAE7" w14:textId="77777777" w:rsidR="00D04576" w:rsidRDefault="00D04576" w:rsidP="00D04576">
      <w:pPr>
        <w:pStyle w:val="Default"/>
        <w:rPr>
          <w:sz w:val="23"/>
          <w:szCs w:val="23"/>
        </w:rPr>
      </w:pPr>
    </w:p>
    <w:p w14:paraId="05C94F61" w14:textId="77777777" w:rsidR="00D04576" w:rsidRDefault="00CB15F3" w:rsidP="00D045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JORGE MATIOTTI NETO</w:t>
      </w:r>
    </w:p>
    <w:p w14:paraId="16F6FF74" w14:textId="77777777" w:rsidR="00BA5816" w:rsidRDefault="00D04576" w:rsidP="00D04576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  <w:r>
        <w:rPr>
          <w:sz w:val="23"/>
          <w:szCs w:val="23"/>
        </w:rPr>
        <w:t>OAB/SC</w:t>
      </w:r>
      <w:r w:rsidR="00CB15F3">
        <w:rPr>
          <w:sz w:val="23"/>
          <w:szCs w:val="23"/>
        </w:rPr>
        <w:t xml:space="preserve"> 17.879 / Assessor Jurídico</w:t>
      </w:r>
      <w:r>
        <w:rPr>
          <w:sz w:val="23"/>
          <w:szCs w:val="23"/>
        </w:rPr>
        <w:t xml:space="preserve"> do C</w:t>
      </w:r>
      <w:r w:rsidR="00CB15F3">
        <w:rPr>
          <w:sz w:val="23"/>
          <w:szCs w:val="23"/>
        </w:rPr>
        <w:t>IMAM</w:t>
      </w:r>
    </w:p>
    <w:sectPr w:rsidR="00BA5816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D3C7" w14:textId="77777777" w:rsidR="00066C4B" w:rsidRDefault="00066C4B">
      <w:r>
        <w:separator/>
      </w:r>
    </w:p>
  </w:endnote>
  <w:endnote w:type="continuationSeparator" w:id="0">
    <w:p w14:paraId="70DB3558" w14:textId="77777777" w:rsidR="00066C4B" w:rsidRDefault="000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E299" w14:textId="77777777" w:rsidR="00066C4B" w:rsidRDefault="00066C4B">
      <w:r>
        <w:separator/>
      </w:r>
    </w:p>
  </w:footnote>
  <w:footnote w:type="continuationSeparator" w:id="0">
    <w:p w14:paraId="5B9C5E9C" w14:textId="77777777" w:rsidR="00066C4B" w:rsidRDefault="0006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353B4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66C4B"/>
    <w:rsid w:val="0007044E"/>
    <w:rsid w:val="000749AC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16805"/>
    <w:rsid w:val="0012197B"/>
    <w:rsid w:val="00141C7F"/>
    <w:rsid w:val="00144A56"/>
    <w:rsid w:val="0014741E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27BF4"/>
    <w:rsid w:val="00431402"/>
    <w:rsid w:val="0043364F"/>
    <w:rsid w:val="00444774"/>
    <w:rsid w:val="0044558B"/>
    <w:rsid w:val="004460BA"/>
    <w:rsid w:val="00450222"/>
    <w:rsid w:val="00461248"/>
    <w:rsid w:val="0046190D"/>
    <w:rsid w:val="00466026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600CB"/>
    <w:rsid w:val="00565004"/>
    <w:rsid w:val="00586DF6"/>
    <w:rsid w:val="005936A0"/>
    <w:rsid w:val="0059708B"/>
    <w:rsid w:val="005A20AE"/>
    <w:rsid w:val="005A79BB"/>
    <w:rsid w:val="005B5A4B"/>
    <w:rsid w:val="005B6A34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0156"/>
    <w:rsid w:val="006538E9"/>
    <w:rsid w:val="00660778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04CC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0A65"/>
    <w:rsid w:val="00773AA8"/>
    <w:rsid w:val="007914C7"/>
    <w:rsid w:val="00797589"/>
    <w:rsid w:val="007A4AC9"/>
    <w:rsid w:val="007E24C9"/>
    <w:rsid w:val="007F1DA1"/>
    <w:rsid w:val="008114AD"/>
    <w:rsid w:val="00814D8E"/>
    <w:rsid w:val="00815D5A"/>
    <w:rsid w:val="0084262B"/>
    <w:rsid w:val="00846492"/>
    <w:rsid w:val="00857497"/>
    <w:rsid w:val="00863110"/>
    <w:rsid w:val="00884F85"/>
    <w:rsid w:val="00886E16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29EB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86917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44A00"/>
    <w:rsid w:val="00B52B68"/>
    <w:rsid w:val="00B6688B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44190"/>
    <w:rsid w:val="00D47014"/>
    <w:rsid w:val="00D470F2"/>
    <w:rsid w:val="00D52FB3"/>
    <w:rsid w:val="00D71232"/>
    <w:rsid w:val="00D73F28"/>
    <w:rsid w:val="00D7625D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10953"/>
    <w:rsid w:val="00F15152"/>
    <w:rsid w:val="00F21903"/>
    <w:rsid w:val="00F35E48"/>
    <w:rsid w:val="00F43C2A"/>
    <w:rsid w:val="00F63824"/>
    <w:rsid w:val="00F6716D"/>
    <w:rsid w:val="00F703CD"/>
    <w:rsid w:val="00F70C4F"/>
    <w:rsid w:val="00F85A47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23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4139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16</cp:revision>
  <cp:lastPrinted>2023-01-23T18:44:00Z</cp:lastPrinted>
  <dcterms:created xsi:type="dcterms:W3CDTF">2023-07-10T18:03:00Z</dcterms:created>
  <dcterms:modified xsi:type="dcterms:W3CDTF">2023-08-31T20:06:00Z</dcterms:modified>
</cp:coreProperties>
</file>